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F-6144/2020 vom 3. November 2021</w:t>
      </w:r>
    </w:p>
    <w:p>
      <w:r>
        <w:t>Bundesverwaltungsgericht, 2021-11-03, FR</w:t>
      </w:r>
    </w:p>
    <w:p>
      <w:r>
        <w:rPr>
          <w:b/>
        </w:rPr>
        <w:t xml:space="preserve">Quelle: </w:t>
      </w:r>
      <w:r>
        <w:t>https://mcp.opencaselaw.ch/entscheid/bvger_F-6144_2020</w:t>
      </w:r>
    </w:p>
    <w:p>
      <w:r>
        <w:t>FR: TAF F-6144/2020 du 3 novembre 2021</w:t>
      </w:r>
    </w:p>
    <w:p>
      <w:r>
        <w:t>IT: TAF F-6144/2020 del 3 novembre 2021</w:t>
      </w:r>
    </w:p>
    <w:p>
      <w:pPr>
        <w:pStyle w:val="Heading2"/>
      </w:pPr>
      <w:r>
        <w:t>Regeste</w:t>
      </w:r>
    </w:p>
    <w:p>
      <w:r>
        <w:t>Assistance administrative</w:t>
      </w:r>
    </w:p>
    <w:p>
      <w:pPr>
        <w:pStyle w:val="Heading2"/>
      </w:pPr>
      <w:r>
        <w:t>Erwägungen</w:t>
      </w:r>
    </w:p>
    <w:p>
      <w:r>
        <w:rPr>
          <w:b/>
        </w:rPr>
        <w:t>E. 5</w:t>
      </w:r>
    </w:p>
    <w:p>
      <w:r>
        <w:t>Pour ce qui est des conditions de fond, le recourant invoque une violation du principe de la pertinence vraisemblable à plusieurs égards dans son recours du 30 novembre 2020 et dans sa réplique du 19 avril 2021. 5.1.1 Le recourant argue, en premier lieu, que les informations le concernant ne rempliraient pas la condition de la pertinence vraisemblable dès lors qu'il ne serait pas l'ayant-droit économique du compte de la société visée par la demande durant la période concernée. Selon lui, il a placé une partie de sa fortune dans la fondation liechtensteinoise B._______ qui détenait à son tour la société C._______, sise aux Bahamas, laquelle détenait un compte bancaire auprès de la Banque X._______ (cf. act. 1 TAF, pièce 2). Le recourant avance s'être dessaisi des avoirs de ladite fondation Ie 3 avril 2009 au profit d'autres personnes et de ne plus avoir pu disposer de sa fortune dès ce moment (cf. act. 1 TAF, pièces 3 et 4). Toutefois, en raison d'une erreur de la banque, le formulaire A n'aurait été révoqué seulement en 2011. La société C._______. aurait été dissoute Ie 10 novembre 2010 (cf. act. 1 TAF, pièce 5). 5.1.2 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 5.1.3 En revanche, la question n'a pas été spécifiquement examinée, dans l'arrêt du Tribunal fédéral, de savoir si, compte tenu des éléments concernant l'absence de qualité d'ayant-droit économique de la société visée par la demande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En effet, concernant l'identité de l'ayant-droit économique du compte visé, seules font foi les informations enregistrées auprès de la banque pour la période concernée par la demande. En l'espèce, selon ses propres déclarations, aux 1er janvier 2010 et 2011, le recourant était toujours enregistré auprès de la banque comme ayant-droit économique du compte visé. Ces informations ne peuvent pas être modifiées a posteriori. II ne ressort d'ailleurs d'aucune pièce transmise par le recourant que la banque reconnaîtrait avoir actualisé ses données personnelles et qu'iI s'agirait, dès lors, d'une erreur dans sa gestion desdites données. 5.1.4 Partant, le recourant figurait à juste titre comme ayant-droit économique du compte visé auprès de la banque X._______ pour la période concernée. Les comptes de cette société ont ainsi un lien avec la situation fiscale du recourant. Ainsi, les renseignements requis sont manifestement pertinents pour l'évaluation fiscale de ce dernier. 5.1.5 Partant, le Tribunal constate que les informations personnelles que l'autorité inférieure entend transmettre aux autorités compétentes françaises satisfont à la condition de la vraisemblable pertinence dans la mesure où elles sont dans un rapport tangible avec l'état de fait décrit ainsi que le but visé par la demande. Pour le surplus, l'appréciation de la pertinence vraisemblable des informations demandées est en premier lieu du ressort de l'Etat requérant. L'Etat requis se limitant à vérifier l'existence d'un rapport entre l'état de fait décrit et les documents requis.</w:t>
      </w:r>
    </w:p>
    <w:p>
      <w:r>
        <w:rPr>
          <w:b/>
        </w:rPr>
        <w:t>E. 5.2</w:t>
      </w:r>
    </w:p>
    <w:p>
      <w:r>
        <w:t>Le recourant argue, en second lieu, que les informations bancaires relatives à l'année 2010 devraient être exclues de l'assistance administrative, dans l'hypothèse où celle-ci serait accordée en l'espèce. L'intéressé allègue que, dans la mesure où certaines informations que l'autorité inférieure prévoit de transmettre à la DGFiP concerneraient l'année 2010, la prescription décennale serait atteinte en vertu du droit français. Les renseignements ne rempliraient donc pas la condition de la pertinence vraisemblable.</w:t>
      </w:r>
    </w:p>
    <w:p>
      <w:r>
        <w:rPr>
          <w:b/>
        </w:rPr>
        <w:t>E. 5.2.1</w:t>
      </w:r>
    </w:p>
    <w:p>
      <w:r>
        <w:t>La Cour de céans relève que le grief soulevé par le recourant concerne la procédure interne menée dans l'Etat requérant. La procédure d'assistance ne tranche pas matériellement l'affaire ; il appartient à chaque Etat d'interpréter sa propre législation et de contrôler la manière dont celle-ci est appliquée (arrêt du TF 2C_1162/2016 du 4 octobre 2017 consid. 6.4 ; arrêt du TAF A-1944/2017 du 8 août 2018 consid. 3.3.6.2 ; voir aussi arrêts du TAF A-4669/2016 du 8 décembre 2017 consid. 2.7 ; A-4025/2016 du 2 mai 2017 consid. 3.2.6 avec les nombreuses références citées). Or, déterminer si les impôts dus pour la période fiscale 2010 sont prescrits ou non est une question au fond qui devra être invoquée devant, puis tranchée par les autorités françaises compétentes. En effet, ni l'AFC ni le TAF n'ont à examiner des objections liées au bien-fondé de la procédure fiscale conduite à l'étranger ni à l'interroger sur d'éventuels obstacles - comme une éventuelle prescription - qui, en application du droit interne de l'Etat requérant, empêcheraient l'utilisation des renseignements obtenus.</w:t>
      </w:r>
    </w:p>
    <w:p>
      <w:r>
        <w:rPr>
          <w:b/>
        </w:rPr>
        <w:t>E. 5.2.2</w:t>
      </w:r>
    </w:p>
    <w:p>
      <w:r>
        <w:t>Partant, il n'appartient pas à la Suisse de se déterminer sur une éventuelle prescription des impôts concernant l'année 2010. Il appartient en revanche au recourant de faire valoir ses moyens procéduraux devant les autorités compétentes de l'Etat requérant. Son grief est donc écarté.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