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F-6140/2018 vom 2. September 2019</w:t>
      </w:r>
    </w:p>
    <w:p>
      <w:r>
        <w:t>Bundesverwaltungsgericht, 2019-09-02, FR</w:t>
      </w:r>
    </w:p>
    <w:p>
      <w:r>
        <w:rPr>
          <w:b/>
        </w:rPr>
        <w:t xml:space="preserve">Quelle: </w:t>
      </w:r>
      <w:r>
        <w:t>https://mcp.opencaselaw.ch/entscheid/bvger_F-6140_2018</w:t>
      </w:r>
    </w:p>
    <w:p>
      <w:r>
        <w:t>FR: TAF F-6140/2018 du 2 septembre 2019</w:t>
      </w:r>
    </w:p>
    <w:p>
      <w:r>
        <w:t>IT: TAF F-6140/2018 del 2 settembre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1.3</w:t>
      </w:r>
    </w:p>
    <w:p>
      <w:r>
        <w:t>A moins que la LTAF n'en dispose autrement, la procédure devant le Tribunal est régie par la PA (cf. art. 37 LTAF).</w:t>
      </w:r>
    </w:p>
    <w:p>
      <w:r>
        <w:rPr>
          <w:b/>
        </w:rPr>
        <w:t>E. 1.4</w:t>
      </w:r>
    </w:p>
    <w:p>
      <w:r>
        <w:t>La recourante a qualité pour recourir (cf. 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arrêt du TAF F-1429/2016 du 15 novembre 2016 consid. 2). Aussi peut-il admettre ou rejeter le pourvoi pour d'autres motifs que ceux invoqués. Dans son arrêt, il prend en considération l'état de fait régnant au moment où il statue (cf. ATAF 2014/1 consid. 2).</w:t>
      </w:r>
    </w:p>
    <w:p>
      <w:r>
        <w:rPr>
          <w:b/>
        </w:rPr>
        <w:t>E. 3</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LEtr (sur lequel se fonde la décision querellée) a été repris textuellement au nouvel art. 67 LEI et que le nouvel art. 77a al. 1 let. a et al. 2 OASA (qui a remplacé l'art. 80 al. 1 let. a et al. 2 OASA en vigueur jusqu'au 31 décembre 2018) n'a subi qu'une modification de nature rédactionnelle.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F-6416/2018 du 21 mai 2019 consid. 2.4).</w:t>
      </w:r>
    </w:p>
    <w:p>
      <w:r>
        <w:rPr>
          <w:b/>
        </w:rPr>
        <w:t>E. 4.1</w:t>
      </w:r>
    </w:p>
    <w:p>
      <w:r>
        <w:t>La recourante fait valoir une violation du droit d'être entendue, dès lors qu'elle n'aurait pas pu faire valoir ses arguments avant le prononcé de la décision querellée (cf. pce TAF 1 p. 4). Vu la nature formelle de cette garantie constitutionnelle - dont la violation entraîne en principe l'annulation de la décision attaquée sans égard aux chances de succès du recours sur le fond - ce moyen doit être examiné en premier lieu.</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w:t>
      </w:r>
    </w:p>
    <w:p>
      <w:r>
        <w:rPr>
          <w:b/>
        </w:rPr>
        <w:t>E. 4.3</w:t>
      </w:r>
    </w:p>
    <w:p>
      <w:r>
        <w:t>En l'espèce, force est de constater que l'administration n'a pas violé cette garantie constitutionnelle. En effet, la recourante a été auditionnée le 3 février 2018. A cette date, elle a signé un formulaire intitulé "mesures d'éloignement - droit d'être entendu" qui indiquait que, vu les faits constatés, les autorités suisses pouvaient examiner l'opportunité de prononcer à son encontre une mesure d'éloignement (cf. pce SEM p. 25). A la question si elle avait quelque chose à déclarer à ce sujet, elle a répondu négativement. Dès lors, on ne saurait déceler dans les faits précités une violation du droit d'être entendu, puisque la recourante a eu l'occasion de se déterminer avant que la décision en cause ne soit rendue, ce qui est conforme à la jurisprudence y relative (cf., parmi d'autres, l'arrêt du TAF C-4489/2013 du 23 janvier 2014 consid. 3.3 et réf. citées). A toutes fins utiles, on notera qu'on ne saurait reprocher au SEM de ne pas avoir examiné les intérêts privés de l'intéressée dans l'Espace Schengen, puisque cette dernière n'en avait pas fait valoir et qu'aucun indice à ce sujet ne ressortait du dossier de la cause.</w:t>
      </w:r>
    </w:p>
    <w:p>
      <w:r>
        <w:rPr>
          <w:b/>
        </w:rPr>
        <w:t>E. 5.1</w:t>
      </w:r>
    </w:p>
    <w:p>
      <w:r>
        <w:t>L'interdiction d'entrée, qui permet d'empêcher l'entrée ou le retour en Suisse (respectivement dans l'Espace Schengen) d'un étranger dont le séjour y est indésirable, est régie par l'art. 67 LEtr, dans sa teneur en vigueur depuis le 1er janvier 2011.</w:t>
      </w:r>
    </w:p>
    <w:p>
      <w:r>
        <w:rPr>
          <w:b/>
        </w:rPr>
        <w:t>E. 5.2</w:t>
      </w:r>
    </w:p>
    <w:p>
      <w:r>
        <w:t>En vertu de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En vertu de l'art. 80 al. 1 de l'OASA (RO 2007 5497), il y a notamment atteinte à la sécurité et à l'ordre publics en cas de violation de prescriptions légales ou de décisions d'autorités (let. a).</w:t>
      </w:r>
    </w:p>
    <w:p>
      <w:r>
        <w:rPr>
          <w:b/>
        </w:rPr>
        <w:t>E. 5.3</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(cf. ATAF 2017/2 consid. 4.4 et les réf. cit.).</w:t>
      </w:r>
    </w:p>
    <w:p>
      <w:r>
        <w:rPr>
          <w:b/>
        </w:rPr>
        <w:t>E. 5.4</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5.5</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6.1</w:t>
      </w:r>
    </w:p>
    <w:p>
      <w:r>
        <w:t>En l'occurrence, l'autorité inférieure a prononcé une décision d'interdiction d'entrée en Suisse d'une durée de deux ans à l'encontre de la recourante. Elle a considéré qu'une telle mesure d'éloignement s'imposait compte tenu de la condamnation pénale du 4 février 2018 prononcée à l'encontre de l'intéressée (cf. pce SEM p. 27 ss).</w:t>
      </w:r>
    </w:p>
    <w:p>
      <w:r>
        <w:rPr>
          <w:b/>
        </w:rPr>
        <w:t>E. 6.2</w:t>
      </w:r>
    </w:p>
    <w:p>
      <w:r>
        <w:t>Il convient donc d'examiner, d'une part, si la recourante a attenté par son comportement à la sécurité et à l'ordre publics ou les a mis en danger au sens de l'art. 67 al. 2 let. a LEtr, ce qui justifierait le prononcé d'une mesure d'interdiction d'entrée dans son principe, et, d'autre part, si la durée de la mesure d'éloignement est conforme au principe de proportionnalité.</w:t>
      </w:r>
    </w:p>
    <w:p>
      <w:r>
        <w:rPr>
          <w:b/>
        </w:rPr>
        <w:t>E. 7</w:t>
      </w:r>
    </w:p>
    <w:p>
      <w:r>
        <w:t>En l'espèce, la recourante a été condamnée en date du 4 février 2018, pour avoir dérobé, avec conscience et volonté, un sac à main de marque [...] d'une valeur de Fr. 1'115.- dans une boutique de l'aéroport-International de Genève-Cointrin.</w:t>
      </w:r>
    </w:p>
    <w:p>
      <w:r>
        <w:rPr>
          <w:b/>
        </w:rPr>
        <w:t>E. 7.1</w:t>
      </w:r>
    </w:p>
    <w:p>
      <w:r>
        <w:t>A ce sujet, la recourante a souligné qu'elle avait contesté les faits qui lui étaient reprochés, affirmant que, sous l'effet du stress, elle aurait simplement oublié le sac qu'elle venait d'essayer sur l'épaule lorsque l'embarquement de son vol a été annoncé. Elle a également relevé qu'elle n'avait jamais eu la possibilité de confronter sa version des faits à celle avancée par le témoin, soit le vendeur de la boutique, et qu'elle n'avait pas eu connaissance du contenu de l'audition de ce dernier cf. pce TAF 1 p. 4 et p. 9). Enfin, elle a déclaré qu'elle « a[vait] renoncé à contester l'ordonnance pénale après avoir passé une après-midi et la nuit qui a suivi en garde à vue, ce autant par économie de procédure que par crainte qu'une contestation de sa part n'entraîne une prolongation de sa détention », ajoutant que cela lui avait permis de prendre immédiatement un vol de retour (cf. pce TAF 1 p. 4).</w:t>
      </w:r>
    </w:p>
    <w:p>
      <w:r>
        <w:rPr>
          <w:b/>
        </w:rPr>
        <w:t>E. 7.2</w:t>
      </w:r>
    </w:p>
    <w:p>
      <w:r>
        <w:t>Il sied de rappeler que les autorités genevoises ont attiré l'attention de l'intéressée sur le fait que l'Office cantonal de la population et des migrations (ci-après : l'OCPM) était susceptible de prononcer à son encontre une décision de renvoi selon les art. 64 ss LEtr et de proposer au SEM une interdiction d'entrée en Suisse et au Liechtenstein, qui pourrait s'étendre, selon les circonstances, à l'ensemble de l'espace Schengen. Ainsi, et contrairement à ce qu'elle prétend (cf. pce TAF 1 p. 10), l'intéressée devait avoir conscience qu'une mesure d'éloignement pouvait être prononcée à son encontre en raison des faits qui lui étaient reprochés, soit le vol d'un sac de marque. Quant au fait qu'elle aurait été traumatisée d'avoir été traitée comme une voleuse et qu'après près de 24 heures de garde à vue, elle aurait préféré en finir au plus vite avec la procédure, afin de prendre au plus vite un vol de retour, il convient de relever que la recourante avait la possibilité de s'opposer à l'ordonnance pénale dans un délai de 10 jours. N'ayant pas fait opposition à l'ordonnance pénale dans ledit délai - qui avait clairement été indiqué (cf. pce SEM p. 28) -, le Tribunal de céans ne saurait s'en écarter (concernant l'appréciation des preuves en rapport avec des jugements pénaux entrés en force cf. supra consid. 5.4). Dans ce contexte, on précisera que les actes au dossier ne permettent pas de confirmer la version de la recourante. Bien plutôt, certains éléments mettent à mal sa crédibilité. Ainsi, celle-ci a prétendu s'être rendue soudainement compte dans le magasin qu'elle était en retard et avoir couru vers la porte d'embarquement sans se rendre compte qu'elle portait encore un sac du magasin sur son épaule (cf. pce SEM p. 17). Or, le vendeur qui l'a suivie jusqu'à sa porte d'embarquement a indiqué que l'intéressée s'était dirigée tranquillement vers la sortie du magasin (cf. pce SEM p. 2). En outre, la recourante a indiqué à la police qu'elle était venue travailler en tant qu'indépendante à l'hôtel intercontinental (cf. pce SEM p. 17). L'enquête menée par la police genevoise auprès de l'hôtel précité a toutefois mis en évidence que celle-ci y avait seulement loué une chambre (cf. pce SEM p. 22).</w:t>
      </w:r>
    </w:p>
    <w:p>
      <w:r>
        <w:rPr>
          <w:b/>
        </w:rPr>
        <w:t>E. 7.3</w:t>
      </w:r>
    </w:p>
    <w:p>
      <w:r>
        <w:t>Sur le vu de ce qui précède, aucun élément suffisamment concret est de nature à remettre en cause les conclusions des autorités pénales dans la présente affaire. Il y a donc lieu de conclure que la recourante a violé l'ordre juridique, ce qui constitue un motif suffisant pour rendre une mesure d'éloignement à son encontre (cf. supra consid. 5.2). En outre, le fait que la recourante continue de nier la commission de l'infraction en cause, malgré le prononcé d'une condamnation pénale entrée en force et la présence d'indices concrets mettant à mal sa crédibilité, ne permet pas de rendre un pronostic favorable dans la présente affaire. Cela vaut d'autant plus que le critère du risque de récidive a une portée moindre en présence de ressortissants d'Etat tiers (cf. à ce sujet supra consid. 5.3).</w:t>
      </w:r>
    </w:p>
    <w:p>
      <w:r>
        <w:rPr>
          <w:b/>
        </w:rPr>
        <w:t>E. 8</w:t>
      </w:r>
    </w:p>
    <w:p>
      <w:r>
        <w:t>Cela étant, il reste encore à vérifier si la mesure satisfait aux principes de proportionnalité et d'égalité de traitement. Dans le cadre de cet examen-là, l'autorité dispose toujours d'un plein pouvoir d'appréciation.</w:t>
      </w:r>
    </w:p>
    <w:p>
      <w:r>
        <w:rPr>
          <w:b/>
        </w:rPr>
        <w:t>E. 8.1</w:t>
      </w:r>
    </w:p>
    <w:p>
      <w:r>
        <w:t>En effet, toute mesure d'éloignement doit respecter le principe de la proportionnalité, qui s'impose tant en droit interne (art. 5 al. 2 et 36 al. 3 Cst. et 96 LEtr) qu'au regard de l'art. 8 par. 2 CEDH (ATF 139 II 121 consid. 6.5.1 et 130 II 176 consid. 3.4.2). 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8.2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8.3</w:t>
      </w:r>
    </w:p>
    <w:p>
      <w:r>
        <w:t>En l'espèce, il appert que le motif retenu à l'appui de la mesure d'éloignement prise à l'endroit de la recourante (vol) ne saurait être contesté (cf. supra consid. 7) et que l'infraction ainsi perpétrée, qui est passible d'une peine privative de liberté de cinq ans au plus ou d'une peine pécuniaire, ne saurait nullement être banalisée. En effet, compte tenu du nombre élevé d'infractions contre le patrimoine, les autorités sont contraintes d'intervenir avec sévérité afin d'assurer la stricte application des prescriptions édictées en la matière. Il en va de l'intérêt de l'Etat à voir respecter l'ordre établi et la législation en rigueur (cf., à ce sujet, l'arrêt du TAF F-530/2017 du 1er décembre 2017 consid. 5.2). Le prononcé d'une interdiction d'entrée paraît donc en adéquation avec la règle de l'aptitude et de la nécessité (cf. aussi supra consid. 7.3).</w:t>
      </w:r>
    </w:p>
    <w:p>
      <w:r>
        <w:rPr>
          <w:b/>
        </w:rPr>
        <w:t>E. 8.4</w:t>
      </w:r>
    </w:p>
    <w:p>
      <w:r>
        <w:t>Dans le cadre de l'analyse du principe de proportionnalité au sens étroit, l'intérêt privé de la recourante à pouvoir venir en Suisse est un élément qui doit être examiné. Dans ce contexte, celle-ci a relevé que la mesure d'éloignement querellée avait pour conséquence de la séparer de son compagnon, avec lequel elle envisageait de se marier prochainement (cf. pce TAF 1 p. 6 et pce TAF 1 annexe 8). L'intéressée se prévaut ainsi de l'art. 8 CEDH qui consacre le droit au respect de la vie familiale.</w:t>
      </w:r>
    </w:p>
    <w:p>
      <w:r>
        <w:rPr>
          <w:b/>
        </w:rPr>
        <w:t>E. 8.4.1</w:t>
      </w:r>
    </w:p>
    <w:p>
      <w:r>
        <w:t>Un étranger peut, selon les circonstances, se prévaloir du droit au respect de sa vie privée et familiale garanti par l'art. 8 par. 1 CEDH pour empêcher la division de sa famille et s'opposer ainsi à l'ingérence des autorités dans son droit protégé. D'après la jurisprudence, les relations familiales protégées par cette dernière disposition sont avant tout celles qui concernent la famille dite nucléaire (« Kernfamilie »), soient celles qui existent entre époux ainsi qu'entre parents et enfants mineurs vivant en ménage commun (cf. notamment ATF 140 I 77 consid. 5.2; 137 I 113consid. 6.1). Les fiancés ou les concubins ne sont en principe pas habilités à invoquer l'art. 8 CEDH, à moins que le couple n'entretienne depuis longtemps des relations étroites et effectives et qu'il n'existe des indices concrets d'un mariage sérieusement voulu et imminent (cf. notammentATF 137 I 351 consid. 3.2; arrêts du TF 2C_435/2014 du 13 février 2015 consid. 4.1; 2C_220/2014 du 4 juillet 2014 consid. 3.1; 2C_1035/2012 du 21 décembre 2012 consid. 5.1).</w:t>
      </w:r>
    </w:p>
    <w:p>
      <w:r>
        <w:rPr>
          <w:b/>
        </w:rPr>
        <w:t>E. 8.4.2</w:t>
      </w:r>
    </w:p>
    <w:p>
      <w:r>
        <w:t>Ces conditions ne sont pas remplies en l'espèce. D'une part, le mariage envisagé par la recourante avec son ami vivant en Suisse n'apparaît pas imminent, dès lors que cette dernière a admis qu'aucune procédure préparatoire n'avait encore été engagée à cet effet. D'autre part, en l'absence de projet de mariage imminent avec son ami et d'enfant commun, la seule durée de leur relation, d'un peu plus d'une année (cf. pce TAF 1 p. 5), ne permet pas de considérer qu'elle a atteint le degré de stabilité et d'intensité requis pour pouvoir être assimilée à une union conjugale (cf. notamment, en ce sens, ATF 137 I 351 consid. 3.2; arrêt du TF 2C_97/2010 du 4 novembre 2010 consid. 3.3). L'intéressée peut en outre continuer d'entretenir avec son compagnon vivant en Suisse des contacts réguliers par téléphone, lettres ou messages électroniques (cf. arrêt du TAF F-5161/2016 du 11 septembre 2017 consid. 8.2.2 ss). Dans ces conditions, la recourante n'est pas fondée à invoquer la violation de la disposition de l'art. 8 CEDH, ni du reste de la disposition de l'art. 13 al. 1 Cst., qui ne garantit pas une protection plus étendue (cf. notamment ATF 138 I 331 consid. 8.3.2).</w:t>
      </w:r>
    </w:p>
    <w:p>
      <w:r>
        <w:rPr>
          <w:b/>
        </w:rPr>
        <w:t>E. 8.4.3</w:t>
      </w:r>
    </w:p>
    <w:p>
      <w:r>
        <w:t>En considération de ce qui précède, la relation que la recourante entretient avec son compagnon ne saurait, en l'état, suffire pour s'opposer à la mesure d'éloignement prononcée à son encontre, dès lors qu'une ingérence dans l'exercice du droit à la protection de la vie familiale se révèlerait justifiée, conformément à l'art. 8 par. 2 CEDH. Dans ces conditions, même s'il convient de tenir compte de cet intérêt privé dans l'analyse globale du cas - notamment en lien avec la durée de l'interdiction d'entrée -, l'ensemble des éléments susmentionnés permet de relativiser fortement son importance.</w:t>
      </w:r>
    </w:p>
    <w:p>
      <w:r>
        <w:rPr>
          <w:b/>
        </w:rPr>
        <w:t>E. 8.5</w:t>
      </w:r>
    </w:p>
    <w:p>
      <w:r>
        <w:t>En procédure de recours, la recourante s'est nouvellement prévalue du fait que sa profession exigeait une certaine mobilité tant aux Etats-Unis qu'en Europe (cf. pce TAF 1 p. 5). Elle aurait notamment des projets professionnels au sein du restaurant dans lequel son compagnon a investi à Genève (cf. pce TAF 1 p. 6). Or, en l'espèce, bien que B._______ ait déclaré qu'une fois que son amie pourrait revenir en Suisse, il entamerait les démarches nécessaires permettant de l'engager en qualité de consultante pour l'organisation d'événements caritatifs (cf. pce TAF 1 annexe 8), aucun élément concret ne vient corroborer lesdites affirmations. Au demeurant, si l'on se réfère à son curriculum vitae, la recourante a exercé la plupart de ses activités lucratives sur le territoire américain (cf. pce TAF 1 annexe 5), de sorte que ses projets professionnels futurs ne suffisent pas non plus à faire obstacle au prononcé d'une interdiction d'entrée jusqu'en avril 2020.</w:t>
      </w:r>
    </w:p>
    <w:p>
      <w:r>
        <w:rPr>
          <w:b/>
        </w:rPr>
        <w:t>E. 8.6</w:t>
      </w:r>
    </w:p>
    <w:p>
      <w:r>
        <w:t>En conséquence, après une pondération des intérêts publics et privés en présence (commission d'un seul vol sans antécédent judiciaire, relation avec un ressortissant irlandais vivant à Genève depuis le printemps 2018, projets professionnels en Suisse) et au regard de l'ensemble des circonstances du cas d'espèce, le Tribunal considère que la durée de l'interdiction d'entrée querellée de 2 ans doit être confirmée. Cette durée est d'ailleurs compatible avec la jurisprudence rendue en rapport avec des décisions d'interdictions d'entrée prononcées suite à la commission de vols (cf., pour comparaison, arrêts du TAF C-4372/2015 du 25 mai 2016 [3 ans] ; F-530/2017 du 1er décembre 2017 [3 ans] ; C-256/2013 du 16 avril 2015 [5 ans]). Quoiqu'en pense la recourante, les références citées dans son mémoire de recours se basent sur des états de fait différents et ne lui sont d'aucun secours dans la présente affaire. Il convient dès lors de rejeter le recours et de confirmer la décision de l'autorité inférieure du 18 avril 2018.</w:t>
      </w:r>
    </w:p>
    <w:p>
      <w:r>
        <w:rPr>
          <w:b/>
        </w:rPr>
        <w:t>E. 9</w:t>
      </w:r>
    </w:p>
    <w:p>
      <w:r>
        <w:t>Au vu de l'issue de la cause, les frais de procédure sont mis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