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F-6119/2019 vom 7. Juli 2020</w:t>
      </w:r>
    </w:p>
    <w:p>
      <w:r>
        <w:t>Bundesverwaltungsgericht, 2020-07-07, DE</w:t>
      </w:r>
    </w:p>
    <w:p>
      <w:r>
        <w:rPr>
          <w:b/>
        </w:rPr>
        <w:t xml:space="preserve">Quelle: </w:t>
      </w:r>
      <w:r>
        <w:t>https://mcp.opencaselaw.ch/entscheid/bvger_F-6119_2019</w:t>
      </w:r>
    </w:p>
    <w:p>
      <w:r>
        <w:t>FR: TAF F-6119/2019 du 7 juillet 2020</w:t>
      </w:r>
    </w:p>
    <w:p>
      <w:r>
        <w:t>IT: TAF F-6119/2019 del 7 luglio 2020</w:t>
      </w:r>
    </w:p>
    <w:p>
      <w:pPr>
        <w:pStyle w:val="Heading2"/>
      </w:pPr>
      <w:r>
        <w:t>Regeste</w:t>
      </w:r>
    </w:p>
    <w:p>
      <w:r>
        <w:t>Sozialhilfe an Auslandschweizer</w:t>
      </w:r>
    </w:p>
    <w:p>
      <w:pPr>
        <w:pStyle w:val="Heading2"/>
      </w:pPr>
      <w:r>
        <w:t>Erwägungen</w:t>
      </w:r>
    </w:p>
    <w:p>
      <w:r>
        <w:rPr>
          <w:b/>
        </w:rPr>
        <w:t>E. 1.1</w:t>
      </w:r>
    </w:p>
    <w:p>
      <w:r>
        <w:t>Verfügungen der KD betreffend Sozialhilfeleistungen an Schweizer Staatsangehörige im Ausland nach Art. 33 Abs. 1 des Bundesgesetzes vom 26. September 2014 über Schweizer Personen und Institutionen im Ausland (Auslandschweizergesetz [ASG], SR 195.1]) unterliegen der Beschwerde an das Bundesverwaltungsgericht (Art. 62 ASG i.V.m. Art. 31 ff. VGG).</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als Verfügungsadressatin, die ein schutzwürdiges Interesse an der Änderung oder Aufhebung der angefochtenen Verfügung hat,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Bei wiederkehrenden Leistungen ist - analog zum Sozialversicherungsrecht - auf dem Gebiet der Sozialhilfe an Schweizer Staatsangehörige im Ausland grundsätzlich auf die tatsächlichen Verhältnisse abzustellen, wie sie sich im Zeitpunkt der angefochtenen Verfügung dargestellt haben (vgl. Urteile des BVGer F-2333/2018 vom 4. Mai 2020 E. 3,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w:t>
      </w:r>
    </w:p>
    <w:p>
      <w:r>
        <w:rPr>
          <w:b/>
        </w:rPr>
        <w:t>E. 3.2.1</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Gemäss Art. 19 Abs. 1 V-ASG hat eine Person Anspruch auf wiederkehrende Leistungen, wenn ihre anrechenbaren Ausgaben die anrechenbaren Einnahmen übersteigen (Bst. a), ihr liquidierbares Vermögen bis auf den Vermögensfreibetrag verwertet worden ist (Bst. b) und ihr Verbleib im Empfangsstaat aufgrund der gesamten Umstände gerechtfertigt ist (Bst. c),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Aus dem Wortlaut ergibt sich, dass die in Art. 19 Abs. 1 V-ASG genannten Kriterien müssen kumulativ erfüllt sein müssen.</w:t>
      </w:r>
    </w:p>
    <w:p>
      <w:r>
        <w:rPr>
          <w:b/>
        </w:rPr>
        <w:t>E. 3.2.2</w:t>
      </w:r>
    </w:p>
    <w:p>
      <w:r>
        <w:t>Die in Art. 19 Abs. 1 Bst. c V-ASG genannten Konstellationen (nicht abschliessende Aufzählung) werden durch Ziff. 1.3.4 der Weisung der KD zur Sozialhilfe für Auslandschweizerinnen und Auslandschweizer, gültig ab 1. Januar 2020 (nachfolgend: Weisung der KD), konkretisiert (online abrufbar unter www.eda.admin.ch &gt; Leben im Ausland &gt; Dienstleistungen für Schweizer Staatsangehörige im Ausland &gt; Sozialhilfe für Auslandschweizerinnen und Auslandschweizer (SAS) &gt; Rechtliche Grundlagen &gt; Sozialhilfe für Auslandschweizerinnen und Ausländer, Weisung). Die Weisung unterscheidet zwischen Situationen, die eher für eine Leistung vor Ort im Ausland sprechen, und solchen, die eher die Heimkehr in die Schweiz nahelegen. Unter Letzteren figuriert die Konstellation, dass die gesuchstellende Person nicht über eine ordentliche Aufenthaltsbewilligung verfügt und diese nicht innert nützlicher Frist beschafft werden kann. Dementsprechend wird gemäss ständiger Praxis ein illegaler Aufenthalt im Empfangsstaat nicht mittels Sozialhilfeleistungen unterstützt (vgl. Urteile des BVGer F-3829/2017 vom 29. April 2019 E. 4.6; F-5822/2017 vom 23. April 2018 E. 4.4). Diese Rechtsprechung ist dahingehend zu verstehen, dass bei andauerndem illegalen Aufenthalt und fehlender Aussicht, den Aufenthalt zu legalisieren, das Kriterium nach Art. 19 Abs. 1 Bst. c V-ASG, wonach der Verbleib im Empfangsstaat aufgrund der gesamten Umstände gerechtfertigt sein muss, in der Regel nicht erfüllt ist.</w:t>
      </w:r>
    </w:p>
    <w:p>
      <w:r>
        <w:rPr>
          <w:b/>
        </w:rPr>
        <w:t>E. 4.1</w:t>
      </w:r>
    </w:p>
    <w:p>
      <w:r>
        <w:t>Der langjährige Aufenthalt der Beschwerdeführerin in den Vereinigten Staaten ist aktenkundig. Ihren Angaben zufolge verliess sie die Schweiz im Jahr 1993. Der Eintrag ins Auslandschweizerregister erfolgte am 3. April 1996 (vgl. Verfügung der KD vom 14. Oktober 2019 [KD-act. 4]). Gegenüber dem Schweizerischen Generalkonsulat in San Francisco erklärte sie am 21. Juni 2019, dass sie seit rund 20 Jahren illegal in den USA lebe (vgl. Stellungnahme des Schweizerischen Generalkonsulats in San Francisco vom 10. September 2019 [KD-act. 1]).</w:t>
      </w:r>
    </w:p>
    <w:p>
      <w:r>
        <w:rPr>
          <w:b/>
        </w:rPr>
        <w:t>E. 4.2</w:t>
      </w:r>
    </w:p>
    <w:p>
      <w:r>
        <w:t>Bei der Beurteilung der vorliegenden Angelegenheit spielt die Frage des Aufenthaltsstatus eine zentrale Rolle (vgl. E. 3.2.2 hiervor). Dies hat auch die Vorinstanz in der angefochtenen Verfügung klargestellt. Weshalb die Beschwerdeführerin nicht schon zu einem früheren Zeitpunkt versucht hat, ihren Aufenthalt in den Vereinigten Staaten zu legalisieren, ist nicht bekannt. Hingegen geht aus den Akten hervor, dass sie während ihres illegalen Aufenthalts in den Vereinigten Staaten ohne Arbeitsbewilligung gearbeitet hat, weshalb sie weder Anspruch auf eine Krankenversicherung noch auf eine Altersrente aus den USA hat. Gemäss dem Vertrauensanwalt der Schweizerischen Vertretung in San Francisco könnte sie ihren Aufenthalt in den Vereinigten Staaten legalisieren, falls ihr Sohn die amerikanische Staatsbürgerschaft erhalten sollte und danach eine «green card» für seine Mutter beantragen würde. Für die Regelung ihres Aufenthalts in den USA wäre sie zudem auf einen Anwalt angewiesen und hätte mit Anwaltskosten von rund USD 3'000 bis USD 5'000 zu rechnen. Es bleibe ungewiss, ob sie mit diesem Vorgehen tatsächlich eine «green card» erhalten werde (vgl. KD-act. 4). Infolgedessen erscheint es unwahrscheinlich, dass die Beschwerdeführerin in absehbarer Zeit eine Aufenthaltsbewilligung erhalten wird. Dies weist klar darauf hin, dass der Verbleib im Empfangsstaat nicht gerechtfertigt ist (vgl. E. 3.2 hiervor).</w:t>
      </w:r>
    </w:p>
    <w:p>
      <w:r>
        <w:rPr>
          <w:b/>
        </w:rPr>
        <w:t>E. 4.3</w:t>
      </w:r>
    </w:p>
    <w:p>
      <w:r>
        <w:t>Zu keinem anderen Ergebnis zu führen vermag der Umstand, dass die Beschwerdeführerin unbestrittenermassen über familiäre Bande im Empfangsstaat verfügt und insbesondere zu ihren Enkelkindern, die sie häufig betreut, ein enges Verhältnis hat. Der Vollständigkeit halber ist darauf hinzuweisen, dass die Tochter und Enkeltochter der Beschwerdeführerin, welche ebenfalls illegal in den USA gelebt haben, nach ihrer Rückkehr in die Schweiz seit (...) im Kanton (...) wohnhaft sind (vgl. KD-act. 1). Vor diesem Hintergrund erscheint eine Rückkehr in die Schweiz ohne Weiteres zumutbar.</w:t>
      </w:r>
    </w:p>
    <w:p>
      <w:r>
        <w:rPr>
          <w:b/>
        </w:rPr>
        <w:t>E. 5</w:t>
      </w:r>
    </w:p>
    <w:p>
      <w:r>
        <w:t>Zusammenfassend ergibt sich, dass die Vorinstanz das Gesuch der Beschwerdeführerin um Ausrichtung einer wiederkehrenden Leistung zu Recht abgewiesen hat. Die angefochtene Verfügung ist rechtmässig im Sinn von Art. 49 VwVG. Die Beschwerde ist deshalb abzuweisen.</w:t>
      </w:r>
    </w:p>
    <w:p>
      <w:r>
        <w:rPr>
          <w:b/>
        </w:rPr>
        <w:t>E. 6</w:t>
      </w:r>
    </w:p>
    <w:p>
      <w:r>
        <w:t>Ausgangsgemäss wären die Kosten des Verfahrens grundsätzlich der Beschwerdeführerin aufzuerlegen. Angesichts der besonderen Umstände rechtfertigt es sich jedoch, auf die Erhebung von Verfahrenskosten zu verzichten (vgl. Art. 63 Abs. 1 in fine VwVG i.V.m. Art. 6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