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F-6117/2019 vom 12. März 2021</w:t>
      </w:r>
    </w:p>
    <w:p>
      <w:r>
        <w:t>Bundesverwaltungsgericht, 2021-03-12, DE</w:t>
      </w:r>
    </w:p>
    <w:p>
      <w:r>
        <w:rPr>
          <w:b/>
        </w:rPr>
        <w:t xml:space="preserve">Quelle: </w:t>
      </w:r>
      <w:r>
        <w:t>https://mcp.opencaselaw.ch/entscheid/bvger_F-6117_2019</w:t>
      </w:r>
    </w:p>
    <w:p>
      <w:r>
        <w:t>FR: TAF F-6117/2019 du 12 mars 2021</w:t>
      </w:r>
    </w:p>
    <w:p>
      <w:r>
        <w:t>IT: TAF F-6117/2019 del 12 marzo 2021</w:t>
      </w:r>
    </w:p>
    <w:p>
      <w:pPr>
        <w:pStyle w:val="Heading2"/>
      </w:pPr>
      <w:r>
        <w:t>Regeste</w:t>
      </w:r>
    </w:p>
    <w:p>
      <w:r>
        <w:t>Anerkennung der Staatenlosigkeit</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als unterliegende Gesuchstellerin hat als Partei am Verfahren vor der Vorinstanz teilgenommen, ist durch die angefochtene, abschlägige Verfügung besonders betroffen und hat ein schutzwürdiges Interesse an deren Aufhebung beziehungsweise Änderung. Sie ist folglich zur Beschwerde legitimiert (Art. 48 Abs.1 VwVG). Die Beschwerde wurde frist- und formgerecht eingereicht, der Gerichtskostenvorschuss fristgerecht beglichen (Art. 50 Abs. 1 VwVG, Art. 52 Abs. 1 VwVG, Art. 63 Abs. 4 VwVG).</w:t>
      </w:r>
    </w:p>
    <w:p>
      <w:r>
        <w:rPr>
          <w:b/>
        </w:rPr>
        <w:t>E. 1.3</w:t>
      </w:r>
    </w:p>
    <w:p>
      <w:r>
        <w:t>Auf die Beschwerde ist einzutreten.</w:t>
      </w:r>
    </w:p>
    <w:p>
      <w:r>
        <w:rPr>
          <w:b/>
        </w:rPr>
        <w:t>E. 1.4</w:t>
      </w:r>
    </w:p>
    <w:p>
      <w:r>
        <w:t>Das Rechtsmittelverfahren vor dem Bundesverwaltungsgericht richtet sich nach dem Verwaltungsverfahrensgesetz, soweit das Verwaltungsgerichtsgesetz nichts anderes bestimmt (Art. 37 VGG). 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1 Abs. 1 des Übereinkommens vom 28. September 1954 über die Rechtsstellung der Staatenlosen (Staatenlosenübereinkommen, StÜ, SR 0.142.40) gilt jemand als staatenlos, wenn kein Staat ihn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w:t>
      </w:r>
    </w:p>
    <w:p>
      <w:r>
        <w:rPr>
          <w:b/>
        </w:rPr>
        <w:t>E. 3.2</w:t>
      </w:r>
    </w:p>
    <w:p>
      <w:r>
        <w:t>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m.w.H.). Damit wird verhindert, dass der Status der Staatenlosigkeit den ihm im Übereinkommen zugedachten Auffang- und Schutzcharakter verliert und zu einer Sache der persönlichen Präferenz der betroffenen Person wird (Urteil des BGer 2C_763/2008 vom 26. März 2009 E. 3.2 m.w.H.).</w:t>
      </w:r>
    </w:p>
    <w:p>
      <w:r>
        <w:rPr>
          <w:b/>
        </w:rPr>
        <w:t>E. 3.3</w:t>
      </w:r>
    </w:p>
    <w:p>
      <w:r>
        <w:t>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BGE 142 II 433 E. 3.2.6). Kann eine Tatsache nicht bewiesen werden, trägt folglich derjenige die Folgen der Beweislosigkeit, der daraus Rechte ableiten will. Geht es allerdings um den Beweis negativer Tatsachen wie die fehlende Staatsangehörigkeit, bestehen gewisse Beweiserleichterungen, weil sie nicht direkt bewiesen werden können. Ist ein strikter Beweis nicht möglich oder nicht zumutbar, kann der indirekte Beweis über Indizien ausreichen (Urteile des BVGer F-992/2017 vom 24. September 2018 E. 4.3; A-6314/2015 vom 25. Februar 2016 E. 5.5.4; je m.w.H.). Im Anwendungsbereich des Untersuchungsgrundsatzes hat die Behörde den rechtserheblichen Sachverhalt von Amtes wegen festzustellen, indem sie sich notfalls der gesetzlich vorgesehenen Beweismittel bedient (Art. 12 VwVG). Dieser allgemeine Grundsatz wird relativiert durch die Mitwirkungspflicht der Partei.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w:t>
      </w:r>
    </w:p>
    <w:p>
      <w:r>
        <w:rPr>
          <w:b/>
        </w:rPr>
        <w:t>E. 4</w:t>
      </w:r>
    </w:p>
    <w:p>
      <w:r>
        <w:t>Die Beschwerdeführerin behauptet, sie sei Kurdin aus Syrien, gehöre zur Gruppe der «Maktumin (al-Quaid)» (nicht registrierte Personen) und sei somit staatenlos.</w:t>
      </w:r>
    </w:p>
    <w:p>
      <w:r>
        <w:rPr>
          <w:b/>
        </w:rPr>
        <w:t>E. 4.1</w:t>
      </w:r>
    </w:p>
    <w:p>
      <w:r>
        <w:t>Die Kurden in Syrien sind als grösste nichtarabische Minderheit generell Diskriminierungen ausgesetzt. Im Nachgang zu einer 1962 in der syrischen Provinz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(Sg. Ajnabi, wörtlich: Ausländer) bezeichnet werden, und schliesslich staatenlose Kurden, die in keinem staatlichen Register geführt werden, die sogenannten Maktumin al-Qaid. Bereits die Ajanib sind in Bezug auf ihre politischen Rechte, ihre Besitzrechte, ihre Bewegungsfreiheit, ihr Recht auf Bildung und freie Berufswahl vielfältigen Einschränkungen ausgesetzt. Seit April 2011 ist ihnen indessen die syrische Staatsbürgerschaft zugesichert (vgl. dazu Urteil des BVGer F-2594/2017 vom 21. März 2019 E 5.2 f. und nachstehende E. 4.2). Die rechtliche Situation der Maktumin ist durch eine wesentlich weitergehende Rechtlosigkeit gekennzeichnet. In vorliegendem Zusammenhang ist von Bedeutung, dass ein Maktum zum Nachweis seiner Identität lediglich eine besondere, für Maktumin bestimmte Bescheinigung des für ihn zuständigen Mukhtars erhalten kann, das sogenannte Erkennungszeugnis ( ), und dass die Ehe eines Maktum unabhängig vom Status seiner Ehefrau nicht eintragungsfähig ist (vgl. Urteil des BVGer F-4188/2017 vom 13. Februar 2018 E. 4.1 m.w.H.).</w:t>
      </w:r>
    </w:p>
    <w:p>
      <w:r>
        <w:rPr>
          <w:b/>
        </w:rPr>
        <w:t>E. 4.2</w:t>
      </w:r>
    </w:p>
    <w:p>
      <w:r>
        <w:t>Das Dekret Nr. 49 vom 7. April 2011 des syrischen Präsidenten Baschar al-Assad gewährt denjenigen Ajanib, die in der syrischen Provinz al-Hasaka registriert sind, in formeller Hinsicht die syrisch-arabische Staatsangehörigkeit (Art. 1) und beauftragt das Innenministerium mit der Umsetzung (Art. 2; zur Anwendbarkeit des Dekrets auf die gesamte Provinz und teilweise darüber hinaus siehe Urteil des BVGer E-3562/2013 vom 17. Dezember 2014 E. 5.3.2 m.H.). Somit ist davon auszugehen, dass Ajanib aus der Provinz al-Hasaka durch das Dekret grundsätzlich Zugang zur syrisch-arabischen Staatsangehörigkeit haben (vgl. BVGE 2014/5 E. 11.2 m.H.). Die Antragstellung ist ein eigentlicher formaler Akt, der auf die Anerkennung des mit dem Dekret 49/2011 zugesicherten (mithin ipso facto bestehenden) Staatsbürgerschaft abzielt und scheint sich auf den Nachweis des Eintrags im Register der Ajnabi zu beschränken, wenn auch seitens von NGO Übergriffe bei der Gesuchstellung beschrieben sind (vgl. Geiser, Syrien: Staatsbürgerschaft für Ajanib, Auskunft der SFH-Länderanalyse, 3. Juli 2013).</w:t>
      </w:r>
    </w:p>
    <w:p>
      <w:r>
        <w:rPr>
          <w:b/>
        </w:rPr>
        <w:t>E. 4.3</w:t>
      </w:r>
    </w:p>
    <w:p>
      <w:r>
        <w:t>Auf der Basis des Dekretes Nr. 49 ist bis ins Jahr 2012 rund 70'000 Ajanib die syrische Staatsangehörigkeit erteilt worden (vgl. dazu UNHCR, Statistical Yearbook 2011 - Annex, Table 7 FN 21). Bis Mitte 2013 seien es deren rund 104'000 und laut einer Untersuchung des UNHCR im Jahr 2013 hätten 98% der staatenlosen Kurdinnen und Kurden, welche die Staatsbürgerschaft beantragt hätten und anschliessend in den Irak geflohen seien, die syrische Staatsbürgerschaft innert dreier Monate erhalten (Urteil des österreichischen Bundesverwaltungsgerichts W211 2219934-1 vom 25. März 2020 E. II/1.2/b). Laut UNHCR dürfte es im Jahre 2013 noch rund 160'000 syrische Staatenlose kurdischer Herkunft gegeben haben (vgl. UNHCR, Statistical Yearbook 2013 - Annex), wobei nur eine Minderheit zu den Ajanib oder den Maktumin zählt (siehe hierzu Urteile des BVGer C-1873/2013 vom 9. Mai 2014 [nicht in BVGE 2014/5 publizierte E. 5.2] oder D-760/2015 E. 5.2).</w:t>
      </w:r>
    </w:p>
    <w:p>
      <w:r>
        <w:rPr>
          <w:b/>
        </w:rPr>
        <w:t>E. 4.4</w:t>
      </w:r>
    </w:p>
    <w:p>
      <w:r>
        <w:t>Personen ohne Staatsangehörigkeit sind nicht bereits aufgrund der (theoretischen oder tatsächlichen) Möglichkeit des Erwerbs eines Bürgerstatus als dem entsprechenden Staat zugehörig im Sinne von Art. 1 Abs. 1 StÜ zu betrachten. Hingegen wird ihnen - wie bereits festgestellt - die Anerkennung der Staatenlosigkeit verweigert, wenn sie es aus unzureichenden Gründen ablehnen, eine Staatsangehörigkeit (wieder) zu erwerben. Demnach kann in Anwendung der bundesgerichtlichen Rechtsprechung nur die Person syrisch-kurdischer Herkunft aus der Provinz al-Hasaka als staatenlos im Sinne von Art. 1 Abs. 1 StÜ angesehen werden, die sich aus triftigen Gründen weigert, von der Möglichkeit zum Erwerb der syrischen Staatsangehörigkeit Gebrauch zu machen. Als triftig werden nur objektive Gründe anerkannt; eine rein subjektive Motivation, die Schritte zum (Wieder-) Erwerb der Staatsangehörigkeit nicht unternehmen zu wollen, ist dagegen in der Regel als Ausdruck persönlicher Präferenzen anzusehen und fällt als triftiger Grund ausser Betracht (BVGE 2014/5 E. 11.3 und 11.4).</w:t>
      </w:r>
    </w:p>
    <w:p>
      <w:r>
        <w:rPr>
          <w:b/>
        </w:rPr>
        <w:t>E. 4.5</w:t>
      </w:r>
    </w:p>
    <w:p>
      <w:r>
        <w:t>Nach einer Durchsicht der Akten kommt das Bundesverwaltungsgericht zum Schluss, dass die Vorinstanz zu Recht davon ausgegangen ist, der Beschwerdeführerin sei der Nachweis ihres Status als Maktuma respektive die Widerlegung der Annahme, sie sei Ajnabi, nicht gelungen ist. Im Einzelnen:</w:t>
      </w:r>
    </w:p>
    <w:p>
      <w:r>
        <w:rPr>
          <w:b/>
        </w:rPr>
        <w:t>E. 4.5.1</w:t>
      </w:r>
    </w:p>
    <w:p>
      <w:r>
        <w:t>Aus den Schilderungen der Beschwerdeführerin über ihre Verwandtschaft lässt sich schlussfolgern, dass die Familie ihres Vaters und auch ihre Brüder Ajanib sind oder waren. So gab sie an, die Grosseltern väterlicherseits seien Ajanib gewesen und ihre Schwestern seien mit Cousins väterlicherseits verheiratet, die - «weil die Mutter der Ehemänner den Status Ajnabi hatte» - den Status Ajanib hätten (Fragebogen, Ziff. 1 und 4). Daraus lässt sich schliessen, dass die Verwandten der Elterngeneration der Beschwerdeführerin väterlicherseits der Gruppe der Ajanib angehören respektive angehörten. Gleichzeitig sollen ihre Brüder die Einbürgerung nicht vollzogen haben, weil sie sich vor der Rekrutierung gefürchtet hätten (BzP Ziff. 4.03). Der Gedankengang ist bei deren Jahrgängen (vgl. BzP, Ziff. 3.03) zwar nicht zwingend, spiegelt aber diesbezüglich damals herrschende Unsicherheiten wieder (vgl. Albarazi, The Stateless Syrians, Tilburg University Statelessness Programm, May 2013, S. 20). Das Vorbringen der Beschwerdeführerin vor der Vorinstanz (Fragebogen Ziff. 15), es sei hier missverständlich protokolliert worden - sie habe gesagt, selbst wenn die Brüder sich hätten einbürgern lassen können, hätten sie dies aus Angst vor der Rekrutierung nicht getan - erscheint als unplausibel. Vom formalen Punkt abgesehen, dass die Beschwerdeführerin das Protokoll als korrekt unterzeichnete, ergäbe eine solche Aussage im konkreten Gesprächsverlauf keinen Sinn: Hätte die Beschwerdeführerin sagen wollen, dass sie die Staatsbürgerschaft nicht beantragt habe, weil das ihr Status ohnehin nicht zulasse - was eigentlich Gegenstand der Frage war - hätte sie damit antworten können und nicht mit weit hergeholten Abwägungen über die möglichen theoretischen Motive ihrer Brüder. Ist nach alledem davon auszugehen, dass die Grosseltern väterlicherseits, der Vater und seine Geschwister, die Cousins väterlicherseits und die Brüder der Beschwerdeführerin Ajanib sind oder waren, ist unwahrscheinlich, dass die Beschwerdeführerin Maktuma ist. Solche Konstellationen mögen vereinzelt vorkommen, stehen dem Erwerb der Staatsbürgerschaft über den Ajanib-Status des Vaters indessen nicht abschliessend im Weg (vgl. Albarazi, a.a.O.)</w:t>
      </w:r>
    </w:p>
    <w:p>
      <w:r>
        <w:rPr>
          <w:b/>
        </w:rPr>
        <w:t>E. 4.5.2</w:t>
      </w:r>
    </w:p>
    <w:p>
      <w:r>
        <w:t>Aufgrund der Abklärungen der für Syrien zuständigen Schweizerischen Vertretung in Beirut kann davon ausgegangen werden, dass über die Beschwerdeführerin und deren Familie Einträge im syrischen «Vital Records System» (VRS), inkl. zugeteilter Nationalnummer bestehen. Dies ist mit dem Status als Maktum nicht vereinbar. Der Umstand, dass die Datensätze als noch nicht finalisiert verzeichnet sind, deutet darauf hin, dass die Anerkennung der Staatsbürgerschaft nicht abgeschlossen ist. Anders als die Beschwerdeführerin in der Beschwerde anzunehmen scheint, unterstellt die Vorinstanz nicht, dass die Staatsbürgerschaft bereits definitiv festgestellt ist oder das Gesuch zur Anerkennung der Staatsbürgerschaft gestellt worden sei. Ein Fehleintrag aufgrund früherer Bemühungen des Vaters um Erwerb der Staatsbürgerschaft oder wegen der Heirat der Schwestern erscheint als unwahrscheinlich, gerade unter der These, dass es sich bei der Familie der Beschwerdeführerin um Maktumin handeln solle, die selbst und deren Verheiratung den Registern gar nicht zugänglich sind.</w:t>
      </w:r>
    </w:p>
    <w:p>
      <w:r>
        <w:rPr>
          <w:b/>
        </w:rPr>
        <w:t>E. 4.5.3</w:t>
      </w:r>
    </w:p>
    <w:p>
      <w:r>
        <w:t>Den Anschein, den dieser Registereintrag zwingend erweckt, vermag die Beschwerdeführerin mit den eingereichten Dokumenten nicht zu zerstreuen. Es handelt sich dabei durchweg um nicht fälschungssichere Dokumente, die in authentischer Form käuflich erhältlich sind. Der Umstand, dass ein konkret zuständiger Mukthar aus Angst vor den Konsequenzen vor einer Falschbeurkundung zurückschrecken mag, ändert an der Möglichkeit einer Urkundenfälschung nichts. Diese Möglichkeit ist insbesondere bei einer - ohnehin nur in Ausnahmefällen möglichen - Ausstellung von Maktumin-Ausweisen für Gesuchsteller im Ausland virulent. Mit ihren auf Beschwerdeebene vorgetragenen Erwägungen, dass bei grundsätzlicher Fragwürdigkeit solcher Belege alle Staatenlosigkeits-Anerkennungen von Maktumin hinfällig wären, verkennt sie, dass bereits aufgrund ihres Aussageverhaltens und des besagten VRS-Eintrages von ihrem Status als Ajanib auszugehen ist. Ein Dokument von geringem Beweiswert wie etwa ein Maktumin-Ausweis mag allenfalls zur weiteren Überzeugungsbildung beitragen, wenn er sich in den im Übrigen erstellten Sachverhalt einfügt. Das ist vorliegend aber gerade nicht der Fall.</w:t>
      </w:r>
    </w:p>
    <w:p>
      <w:r>
        <w:rPr>
          <w:b/>
        </w:rPr>
        <w:t>E. 4.5.4</w:t>
      </w:r>
    </w:p>
    <w:p>
      <w:r>
        <w:t>Ohne Beweiswert ist schliesslich der Rückzug des Asylgesuches zugunsten des Gesuchs um Anerkennung der Staatenlosigkeit. Ganz unabhängig von den Motiven, die hinter der Erneuerung des Asylgesuchs nach Abweisung des Anerkennungsgesuchs stehen, handelte es sich bei jener Entscheidung um eine, die auf rein subjektiven Annahmen über die Erfolgsaussichten beruhte und damit in objektiver Hinsicht nichts belegt.</w:t>
      </w:r>
    </w:p>
    <w:p>
      <w:r>
        <w:rPr>
          <w:b/>
        </w:rPr>
        <w:t>E. 4.5.5</w:t>
      </w:r>
    </w:p>
    <w:p>
      <w:r>
        <w:t>Soweit die Rüge, die Vorinstanz habe den Sachverhalt «nicht genügend umfassend und sorgfältig geprüft und somit die Pflicht zur vollständigen und richtigen Prüfung der Staatenlosigkeit verletzt» (Beschwerde, Ziff. 1) dahingehend zu verstehen ist, die Beschwerdeführerin rüge eine unvollständige Sachverhaltserhebung, ist zum Einen erinnerungshalber auf die Relativierung des Untersuchungsgrundsatzes durch die Mitwirkungspflicht insbesondere der gesuchstellenden Partei (vorne, E. 3.3) hinzuweisen. Zum andern darf die Behörde form- und fristgerecht gestellte Anträge zur Abnahme an sich tauglicher Beweise in antizipierter Beweiswürdigung abweisen, wenn sie aufgrund der bereits abgenommenen Beweise ihre Überzeugung gebildet hat und annehmen kann, dass ihre Überzeugung von der Wahrheit oder Unwahrheit einer behaupteten Tatsache durch die Abnahme weiterer Beweise nicht erschüttert werde. Könnten weitere Beweismassnahmen an diesem feststehenden Ergebnis nichts mehr ändern, so liegt im Verzicht auf die Abnahme weiterer Beweise keine Verletzung des Anspruchs auf rechtliches Gehör bzw. Beweisabnahme oder des Untersuchungsgrundsatzes vor (vgl. statt Vieler Urteile des BGer 8C_255/2020, 8C_279/2020 vom 6. Januar 2021, E. 5.2; 8C_701/2018 vom 28. Februar 2019 E. 4.1; BGE 143 III 297 E. 9.3.2; 136 I 229 E. 5.3 je m.w.H.). Die Vorinstanz hat den Sachverhalt umfassend abgeklärt und die erhobenen Beweise (Aussagen und Stellungnahmen der Beschwerdeführerin, Resultate der Botschaftsabklärung, eingereichte Dokumente) in ihrer Gesamtheit stimmig gewürdigt. Sie konnte auf den in der Replik beantragten Dokumentenabgleich verzichten; weitere Beweismassnahmen sind weder beantragt noch erscheint der Sachverhalt als unvollständig abgeklärt, so dass sich solche aufdrängen würden.</w:t>
      </w:r>
    </w:p>
    <w:p>
      <w:r>
        <w:rPr>
          <w:b/>
        </w:rPr>
        <w:t>E. 4.5.6</w:t>
      </w:r>
    </w:p>
    <w:p>
      <w:r>
        <w:t>Insgesamt gelingt der Beschwerdeführerin nicht, den behaupteten Status als Maktuma überzeugend darzulegen oder die Annahme zu widerlegen, sie sei Ajnabi. Bei Wahrunterstellung ihrer Aussagen zu ihren Aufenthalten hielt sie sich bis 2013 und sodann wieder von Mai 2015 bis September 2016 in Syrien auf (BzP Ziff. 2.02 und 2.04). Es hätte in dieser Zeit hinreichend Zeit zur Verfügung gestanden, die seit dem April 2011 zugesicherte Staatsbürgerschaft durch einfaches Gesuch auch formell zu erwerben. Objektivierbare triftige Gründe für die unterlassene Gesuchstellung (vgl. vorne, E. 4.4) sind weder ersichtlich noch geltend gemacht.</w:t>
      </w:r>
    </w:p>
    <w:p>
      <w:r>
        <w:rPr>
          <w:b/>
        </w:rPr>
        <w:t>E. 4.6</w:t>
      </w:r>
    </w:p>
    <w:p>
      <w:r>
        <w:t>Zusammenfassend ist festzustellen, dass die Beschwerdeführerin die Voraussetzungen zur Anerkennung der Staatenlosigkeit nicht erfüllt.</w:t>
      </w:r>
    </w:p>
    <w:p>
      <w:r>
        <w:rPr>
          <w:b/>
        </w:rPr>
        <w:t>E. 5</w:t>
      </w:r>
    </w:p>
    <w:p>
      <w:r>
        <w:t>Die angefochtene Verfügung ist damit im Lichte von Art. 49 VwVG nicht zu beanstanden. Die Beschwerde ist abzuweisen.</w:t>
      </w:r>
    </w:p>
    <w:p>
      <w:r>
        <w:rPr>
          <w:b/>
        </w:rPr>
        <w:t>E. 6</w:t>
      </w:r>
    </w:p>
    <w:p>
      <w:r>
        <w:t>Bei diesem Ausgang des Verfahrens sind dessen Kosten der Beschwerdeführerin aufzuerlegen (Art. 63 Abs. 1 VVG). Diese werden in Anwendung der massgeblichen Grundsätze (vgl. Art. 1 ff. des Reglements über die Kosten und Entschädigungen vor dem Bundesverwaltungsgericht [VGKE, SR 173.320.2]) auf Fr. 1'000.00.- festgesetzt und dem geleisteten Kostenvorschuss entnommen. Eine Parteientschädigung steht der Beschwerdeführerin aufgrund ihres Unterliegens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