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F-6100/2016 vom 27. Januar 2017</w:t>
      </w:r>
    </w:p>
    <w:p>
      <w:r>
        <w:t>Bundesverwaltungsgericht, 2017-01-27, DE</w:t>
      </w:r>
    </w:p>
    <w:p>
      <w:r>
        <w:rPr>
          <w:b/>
        </w:rPr>
        <w:t xml:space="preserve">Quelle: </w:t>
      </w:r>
      <w:r>
        <w:t>https://mcp.opencaselaw.ch/entscheid/bvger_F-6100_2016</w:t>
      </w:r>
    </w:p>
    <w:p>
      <w:r>
        <w:t>FR: TAF F-6100/2016 du 27 janvier 2017</w:t>
      </w:r>
    </w:p>
    <w:p>
      <w:r>
        <w:t>IT: TAF F-6100/2016 del 27 gennaio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w:t>
      </w:r>
    </w:p>
    <w:p>
      <w:r>
        <w:t>Der Beschwerdeführer rügt in formeller Hinsicht eine Verletzung des Anspruchs auf rechtliches Gehör (vgl. Art. 29 Abs. 2 BV und Art. 29 ff. VwVG). Die Vorinstanz sei ihrer Begründungspflicht nicht nachgekommen (vgl. dazu Sachverhalt Bst. E).</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3.2</w:t>
      </w:r>
    </w:p>
    <w:p>
      <w:r>
        <w:t>Die Vorinstanz hat in ihrer Verfügung vom 20. September 2016 in der Tat auf den Strafbefehl der Staatsanwaltschaft Zürich-Limmat vom 19. September 2016 verwiesen. Damit war für den Beschwerdeführer ohne Weiteres der Grund erkennbar, wieso das SEM die Fernhaltemassnahme angeordnet hat. Es war ihm denn auch möglich, sachgerecht und vollständig gegen die vorinstanzliche Verfügung zu argumentieren. Dass die Vorinstanz nicht ausdrücklich auf die Dokumente eingegangen ist, die der Beschwerdeführer anlässlich seiner Verhaftung in der Schweiz auf sich getragen hat, ist ihr nicht vorzuwerfen, ist doch aus ihrer Vorgehensweise erkennbar, dass sie den entsprechenden Dokumenten keine Relevanz beigemessen hat. Darauf wird denn auch im Rahmen der nachfolgenden materiell-rechtlichen Prüfung einzugehen sein.</w:t>
      </w:r>
    </w:p>
    <w:p>
      <w:r>
        <w:rPr>
          <w:b/>
        </w:rPr>
        <w:t>E. 3.3</w:t>
      </w:r>
    </w:p>
    <w:p>
      <w:r>
        <w:t>Die erhobene Rüge der Gehörsverletzung erweist sich demnach als unbegründet.</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w:t>
      </w:r>
    </w:p>
    <w:p>
      <w:r>
        <w:rPr>
          <w:b/>
        </w:rPr>
        <w:t>E. 4.2</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Stelle zu informieren (vgl. Urteil des BVGer C-8562/2010 vom 10. Oktober 2012 E. 5.3 f. m.H.).</w:t>
      </w:r>
    </w:p>
    <w:p>
      <w:r>
        <w:rPr>
          <w:b/>
        </w:rPr>
        <w:t>E. 5.1</w:t>
      </w:r>
    </w:p>
    <w:p>
      <w:r>
        <w:t>Die Vorinstanz begründet das Einreiseverbot - wie bereits erwähnt -mit dem Umstand, dass der Beschwerdeführer mit Strafbefehl der Staatsanwaltschaft Zürich-Limmat vom 19. September 2016 wegen rechtswidriger Einreise und rechtswidrigen Aufenthalts zu einer Geldstrafe von 10 Tagessätzen verurteilt wurde (vgl. Verfügung vom 20. September 2016). Zwar ist diese strafrechtliche Verurteilung im verwaltungsrechtlichen Verfahren grundsätzlich nicht bindend. Der Grundsatz der Einheit der Rechtsordnung gebietet indessen, widersprüchliche Entscheide zu vermeiden, weshalb nicht ohne Not von den tatsächlichen Feststellungen der Strafbehörden abzuweichen ist (vgl. BVGE 2013/33 E. 4.3).</w:t>
      </w:r>
    </w:p>
    <w:p>
      <w:r>
        <w:rPr>
          <w:b/>
        </w:rPr>
        <w:t>E. 5.2</w:t>
      </w:r>
    </w:p>
    <w:p>
      <w:r>
        <w:t>Gemäss Strafbefehl der Staatsanwaltschaft Zürich-Limmat vom 19. September 2016 sei der Beschwerdeführer mit dem Zug - in Kenntnis der Einreisevorschriften - ohne das erforderliche Visum bzw. ohne gültige Aufenthaltsbewilligung eines Schengenstaates in die Schweiz eingereist und habe sich ohne Aufenthaltsberechtigung - von deren Erfordernis und Fehlen er Kenntnis gehabt habe - in der Schweiz aufgehalten. Die strafurteilende Behörde ist damit von einem vorsätzlichen Verhalten ausgegangen, was der Beschwerdeführer in Abrede stellt (vgl. Beschwerde vom 4. Oktober 2016, S. 8). Zu den voneinander abweichenden Standpunkten nimmt das Bundesverwaltungsgericht nachfolgend Stellung.</w:t>
      </w:r>
    </w:p>
    <w:p>
      <w:r>
        <w:rPr>
          <w:b/>
        </w:rPr>
        <w:t>E. 6.1</w:t>
      </w:r>
    </w:p>
    <w:p>
      <w:r>
        <w:t>Die Einreisevoraussetzungen für Drittstaatsangehörige für einen geplanten Aufenthalt von bis zu 90 Tagen je Zeitraum von 180 Tagen im Hoheitsgebiet der Schengen-Mitgliedstaaten sind in Art. 6 der Verordnung (EG) Nr. 2016/399 des Europäischen Parlaments und des Rates vom 9. März 2016 über einen Gemeinschaftskodex für das Überschreiten der Grenzen durch Personen (Schengener Grenzkodex [nachfolgend SGK]; kodifizierte Fassung) aufgelistet. Ausländerinnen und Ausländer müssen dabei unter anderem über ein für den Grenzübertritt anerkanntes Ausweispapier und - sofern erforderlich - über ein Visum verfügen. Drittstaatsangehörige, die Inhaber eines gültigen Aufenthaltstitels in einem Schengenstaat sind (vgl. Art. 2 Ziff. 16 SGK), dürfen visumsfrei einreisen (Art. 6 Abs. 1 Bst. b SGK sowie Art. 4 Abs. 2 Bst. a der Verordnung vom 22. Oktober 2008 über die Einreise und die Visumerteilung [VEV, SR 142.204]).</w:t>
      </w:r>
    </w:p>
    <w:p>
      <w:r>
        <w:rPr>
          <w:b/>
        </w:rPr>
        <w:t>E. 6.2</w:t>
      </w:r>
    </w:p>
    <w:p>
      <w:r>
        <w:t>Der Beschwerdeführer unterliegt als türkischer Staatsangehöriger grundsätzlich der Visumpflicht (vgl. Verordnung [EG] Nr. 539/2001 des Rates vom 15. März 2001).</w:t>
      </w:r>
    </w:p>
    <w:p>
      <w:r>
        <w:rPr>
          <w:b/>
        </w:rPr>
        <w:t>E. 6.2.1</w:t>
      </w:r>
    </w:p>
    <w:p>
      <w:r>
        <w:t>Anlässlich seiner Verhaftung in der Schweiz habe der Beschwerdeführer einen türkischen Reisepass, eine türkische identitätskarte sowie eine abgelaufene italienische Aufenthaltsbewilligung auf sich getragen. Zudem habe er ein Papier mitgeführt, welches belege, dass seine Bewilligung in Italien verlängert werde. Weiter verwies er anlässlich der polizeilichen Einvernahme auf seine gültige Identitätskarte, welche er zu Hause vergessen habe (vgl. Einvernahmeprotokoll der Kantonspolizei Zürich vom 19. September 2016 [BVGer act. 1, Beilage 10]). Gemäss beschwerdeweisen Vorbringen habe er auch noch eine schriftliche Bestätigung über die Ausstellung der Identitätskarte bzw. einen elektronischen Auszug der Identitätskarte mit sich geführt. Dies habe er auch gegenüber der Polizei erwähnt, hingegen sei diese Tatsache weder protokolliert worden noch befinde sich diese in den Akten (Beschwerde vom 4. Oktober 2016, S. 5).</w:t>
      </w:r>
    </w:p>
    <w:p>
      <w:r>
        <w:rPr>
          <w:b/>
        </w:rPr>
        <w:t>E. 6.2.2</w:t>
      </w:r>
    </w:p>
    <w:p>
      <w:r>
        <w:t>Der Beschwerdeführer war somit bei seiner Einreise und dem darauffolgenden Aufenthalt in der Schweiz zweifellos nicht im Besitz eines erforderlichen (gültigen) Aufenthaltstitels eines Schengenstaates, der ihn als Drittstaatsangehörigen zum visumsfreien Aufenthalt im Schengenraum berechtigt hätte (vgl. E. 6.1). Unbehelflich ist in diesem Zusammenhang der Umstand, dass er weitere Dokumente auf sich getragen habe (schriftliche Bestätigung über die Ausstellung der Identitätskarte bzw. elektronischer Auszug der Identitätskarte), erlauben doch auch diese keine visumsfreie Einreise bzw. den Aufenthalt im Gebiet der Schengenstaaten.</w:t>
      </w:r>
    </w:p>
    <w:p>
      <w:r>
        <w:rPr>
          <w:b/>
        </w:rPr>
        <w:t>E. 6.2.3</w:t>
      </w:r>
    </w:p>
    <w:p>
      <w:r>
        <w:t>Des Weiteren läuft auch die Aussage des Beschwerdeführers, er habe sich bei den italienischen Behörden vorhergehend informiert und man habe ihm erklärt, er sei berechtigt, mit der neu ausgestellten "Carta d'identità" visumsfrei in die Schengen-Staaten einzureisen (Beschwerde vom 4. Oktober 2016, S. 8) ins Leere, zumal er diese gar nicht mit sich führte, sondern sie gemäss eigenen Aussagen vergessen habe. Das Vorbringen wurde denn auch lediglich behauptet und nicht beweismässig unterlegt. Es ist im Hinblick auf die angebliche Auskunft der italienischen Behörde überdies nicht nachvollziehbar, dass der Beschwerdeführer gerade die "Carta d'identità" bei seiner Einreise in die Schweiz nicht auf sich trug. Vor diesem Hintergrund muss die Darlegung des Beschwerdeführers vielmehr als Schutzbehauptung gewertet werden.</w:t>
      </w:r>
    </w:p>
    <w:p>
      <w:r>
        <w:rPr>
          <w:b/>
        </w:rPr>
        <w:t>E. 6.2.4</w:t>
      </w:r>
    </w:p>
    <w:p>
      <w:r>
        <w:t>Ohnehin ist - wie auch in der Rechtsmitteleingabe bemerkt wird (S. 7 ebenda) - darauf hinzuweisen, dass lediglich Inhaber der in Papierform ausgestellten "Carta d'identità M.A.E." (vom Ministerium für auswärtige Angelegenheiten ausgestellter Personalausweis) keinen Aufenthaltstitel benötigen und befugt sind, bei Vorlage eines gültigen Reisedokuments in das Gebiet jedes Schengen-Staates einzureisen (vgl. Liste der von den Mitgliedstaaten ausgestellten Aufenthaltstitel [https://www.sem.admin.ch/dam/data/sem/rechtsgrundlagen/weisungen/visa/vhb/vhb1-anh02-d.pdf]). Eine solches Dokument besitzt der Beschwerdeführer hingegen nicht (BVGer act. 1, Beilage 5). Somit hätte ihn selbst das Mitführen seiner "Carta d'identità" nicht dazu berechtigt, sich visumsfrei im Schengenraum fortzubewegen.</w:t>
      </w:r>
    </w:p>
    <w:p>
      <w:r>
        <w:rPr>
          <w:b/>
        </w:rPr>
        <w:t>E. 6.2.5</w:t>
      </w:r>
    </w:p>
    <w:p>
      <w:r>
        <w:t>Durch die Einreise in die Schweiz und den darauffolgenden Aufenthalt hierzulande ohne die erforderliche (gültige) italienische Aufenthaltsbewilligung bzw. eines Visums, hat sich der Beschwerdeführer strafbar gemacht. Mit seinem Fehlverhalten hat er damit gegen die öffentliche Sicherheit und Ordnung verstossen. Ergänzend ist - wie auch der Beschwerdeführer erkannt hat - darauf hinzuweisen, dass die Einreise in die Schweiz und der darauffolgende Aufenthalt auch dann rechtswidrig und als Übertretung mit Busse strafbar gewesen wären, wenn sie lediglich fahrlässig erfolgt wären (vgl. Art. 115 Abs. 3 AuG). Das Bundesverwaltungsgericht geht jedoch von einem vorsätzlichen Verhalten aus (vgl. E. 6.2.3).</w:t>
      </w:r>
    </w:p>
    <w:p>
      <w:r>
        <w:rPr>
          <w:b/>
        </w:rPr>
        <w:t>E. 6.3</w:t>
      </w:r>
    </w:p>
    <w:p>
      <w:r>
        <w:t>Vor diesem Hintergrund hat der Beschwerdeführer hinreichenden Anlass für die Verhängung eines Einreiseverbots gegeben (Art. 67 Abs. 2 Bst. a AuG).</w:t>
      </w:r>
    </w:p>
    <w:p>
      <w:r>
        <w:rPr>
          <w:b/>
        </w:rPr>
        <w:t>E. 7.1</w:t>
      </w:r>
    </w:p>
    <w:p>
      <w:r>
        <w:t>Weiter gilt es zu prüfen, ob die Massnahme in richtiger Ausübung des Ermessens ergangen und angemessen ist. Der Grundsatz der Verhältnismässigkeit steht dabei im Vordergrund. Es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Betroffenen bilden dabei den Ausgangspunkt der Überlegungen (vgl. HÄFELIN/ MÜLLER/UHLMANN, Allgemeines Verwaltungsrecht, 7. Aufl., 2016, Rz. 555 f.).</w:t>
      </w:r>
    </w:p>
    <w:p>
      <w:r>
        <w:rPr>
          <w:b/>
        </w:rPr>
        <w:t>E. 7.2</w:t>
      </w:r>
    </w:p>
    <w:p>
      <w:r>
        <w:t>Das Verhalten des Beschwerdeführers lässt auf eine Gefährdung der öffentlichen Sicherheit und Ordnung schliessen. Die Vorinstanz war berechtigt, zur Abwendung künftiger Störungen der öffentlichen Sicherheit und Ordnung ein Einreiseverbot zu verhängen. Als gewichtig zu betrachten ist vorliegend einerseits das generalpräventiv motivierte Interesse, die öffentliche Ordnung durch eine konsequente Massnahmenpraxis zu schützen. Andererseits liegt eine spezialpräventive Zielsetzung der Massnahme darin, dass sie den Beschwerdeführer ermahnt, bei einer künftigen Wiedereinreise in die Schweiz resp. in den Schengen-Raum nach Ablauf der Dauer des Einreiseverbots die für ihn geltenden Regeln einzuhalten (vgl. Urteil des BGer 2C_111/2015 vom 26. Juni 2015 E. 3.9 sowie Urteil des BVGer C-1678/2014 vom 10. März 2015 E. 5.2 m.H.). Es besteht demnach ein erhebliches öffentliches Interesse an der befristeten Fernhaltung des Beschwerdeführers.</w:t>
      </w:r>
    </w:p>
    <w:p>
      <w:r>
        <w:rPr>
          <w:b/>
        </w:rPr>
        <w:t>E. 7.3</w:t>
      </w:r>
    </w:p>
    <w:p>
      <w:r>
        <w:t>Dem öffentlichen Interesse sind die privaten Interessen des Beschwerdeführers gegenüber zu stellen. Dieser macht familiäre Gründe geltend und bringt vor, seine Verlobte, die er in naher Zukunft zu heiraten gedenke, lebe in der Schweiz. Zudem habe er einen Onkel und zahlreiche Bekannte hier (Beschwerde vom 4. Oktober 2016, S. 10). Vorliegend gilt es zu berücksichtigen, dass dem Beschwerdeführer durchaus zuzumuten ist, den Kontakt zu seiner Verlobten auf andere Weise als durch Besuchsaufenthalte in der Schweiz zu pflegen und er bei humanitären oder anderen wichtigen Gründen bei der Vorinstanz die zeitweise Aussetzung der gegen ihn bestehenden Fernhaltemassnahme beantragen kann. Daneben kann er den Kontakt zu seiner Verlobten, dem Onkel und den Bekannten auf andere Weise aufrechterhalten (Telefonate, Videotelefonie etc.) und auch Treffen ausserhalb der Schweiz durchführen. Den geltend gemachten privaten Interessen des Beschwerdeführers kann somit im dargelegten Umfang Rechnung getragen werden. Insgesamt hat die Vor-instanz seinen privaten Interessen zu Recht kein entscheidendes Gewicht beigemessen. Was die Dauer anbelangt, so ist das einjährige Einreiseverbot mit Blick auf die Praxis in vergleichbaren Fällen (vgl. bspw. Urteil des BVGer C-935/2014 vom 17. Juni 2014) als gerechtfertigt anzusehen.</w:t>
      </w:r>
    </w:p>
    <w:p>
      <w:r>
        <w:rPr>
          <w:b/>
        </w:rPr>
        <w:t>E. 7.4</w:t>
      </w:r>
    </w:p>
    <w:p>
      <w:r>
        <w:t>Das verhängte Einreiseverbot stellt nach dem Gesagten sowohl im Grundsatz als auch hinsichtlich der Dauer eine verhältnismässige und angemessene Massnahme zum Schutz der öffentlichen Sicherheit und Ordnung dar. Die angefochtene Verfügung ist somit nicht zu beanstanden (Art. 49 VwVG).</w:t>
      </w:r>
    </w:p>
    <w:p>
      <w:r>
        <w:rPr>
          <w:b/>
        </w:rPr>
        <w:t>E. 8</w:t>
      </w:r>
    </w:p>
    <w:p>
      <w:r>
        <w:t>Aus diesen Erwägungen ergibt sich, dass die Beschwerde abzuweisen ist. Dementsprechend wird der unterliegende Beschwerdeführer kostenpflichtig (Art. 63 Abs. 1 VwVG). Die Verfahrenskosten sind auf Fr.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