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F-6099/2016 vom 5. Oktober 2019</w:t>
      </w:r>
    </w:p>
    <w:p>
      <w:r>
        <w:t>Bundesverwaltungsgericht, 2019-10-05, DE</w:t>
      </w:r>
    </w:p>
    <w:p>
      <w:r>
        <w:rPr>
          <w:b/>
        </w:rPr>
        <w:t xml:space="preserve">Quelle: </w:t>
      </w:r>
      <w:r>
        <w:t>https://mcp.opencaselaw.ch/entscheid/bvger_F-6099_2016</w:t>
      </w:r>
    </w:p>
    <w:p>
      <w:r>
        <w:t>FR: TAF F-6099/2016 du 5 octobre 2019</w:t>
      </w:r>
    </w:p>
    <w:p>
      <w:r>
        <w:t>IT: TAF F-6099/2016 del 5 ottobre 2019</w:t>
      </w:r>
    </w:p>
    <w:p>
      <w:pPr>
        <w:pStyle w:val="Heading2"/>
      </w:pPr>
      <w:r>
        <w:t>Regeste</w:t>
      </w:r>
    </w:p>
    <w:p>
      <w:r>
        <w:t>Schwerwiegender persönlicher Härtefall</w:t>
      </w:r>
    </w:p>
    <w:p>
      <w:pPr>
        <w:pStyle w:val="Heading2"/>
      </w:pPr>
      <w:r>
        <w:t>Erwägungen</w:t>
      </w:r>
    </w:p>
    <w:p>
      <w:r>
        <w:rPr>
          <w:b/>
        </w:rPr>
        <w:t>E. 1.1</w:t>
      </w:r>
    </w:p>
    <w:p>
      <w:r>
        <w:t>Verfügungen des SEM betreffend Zustimmung zur Aufenthaltsbewilligung und Wegweisung unterliegen der Beschwerde an das Bundesverwaltungsgericht (Art. 311 ff. VGG i.V.m. Art. 5 VwVG).</w:t>
      </w:r>
    </w:p>
    <w:p>
      <w:r>
        <w:rPr>
          <w:b/>
        </w:rPr>
        <w:t>E. 1.2</w:t>
      </w:r>
    </w:p>
    <w:p>
      <w:r>
        <w:t>Das Rechtsmittelverfahren vor dem Bundesverwaltungsgericht richtet sich nach dem VwVG, soweit das VGG nichts anderes bestimmt (Art. 37 VGG).</w:t>
      </w:r>
    </w:p>
    <w:p>
      <w:r>
        <w:rPr>
          <w:b/>
        </w:rPr>
        <w:t>E. 1.3</w:t>
      </w:r>
    </w:p>
    <w:p>
      <w:r>
        <w:t>Die Beschwerdeführenden sind zur Ergreifung des Rechtsmittels legitimiert (Art. 48 Abs. 1 VwVG). Auf ihre frist- und formgerecht eingereichte Beschwerde ist einzutreten (Art. 50 und 52 VwVG).</w:t>
      </w:r>
    </w:p>
    <w:p>
      <w:r>
        <w:rPr>
          <w:b/>
        </w:rPr>
        <w:t>E. 2.1</w:t>
      </w:r>
    </w:p>
    <w:p>
      <w:r>
        <w:t>Am 1. Januar 2019 wurde das Ausländergesetz vom 16. Dezember 2005 (AuG, SR 142.20) teilrevidiert (AS 2018 3171) und in Ausländer- und Integrationsgesetz (AIG) umbenannt. Parallel dazu sind entsprechende Anpassungen der Verordnung über Zulassung, Aufenthalt und Erwerbstätigkeit (VZAE, AS 2018 3173) sowie eine Totalrevision der Verordnung über die Integration von Ausländerinnen und Ausländern (VIntA, AS 2018 3189) in Kraft getreten.</w:t>
      </w:r>
    </w:p>
    <w:p>
      <w:r>
        <w:rPr>
          <w:b/>
        </w:rPr>
        <w:t>E. 2.2</w:t>
      </w:r>
    </w:p>
    <w:p>
      <w:r>
        <w:t>Fehlt - wie vorliegend - eine gesetzliche Übergangsregelung, muss aufgrund allgemeiner Grundsätze über das anwendbare Recht entschieden werden. Bei Rechtsänderungen finden nach Lehre und Rechtsprechung jene Bestimmungen auf hängige Verfahren Anwendung, welche zum Zeitpunkt des erstinstanzlichen Entscheids Geltung hatten. Später eingetretene Rechtsänderungen sind nur ausnahmsweise zu berücksichtigen, wenn zwingende Gründe für die sofortige Anwendung des neuen Rechts sprechen (zum Ganzen vgl. etwa Urteile des BVGer F-611/2017 vom 22. Februar 2019 oder F-3709/2017 vom 14. Januar 2019 E. 2.1 - 2.3 je m.H.).</w:t>
      </w:r>
    </w:p>
    <w:p>
      <w:r>
        <w:rPr>
          <w:b/>
        </w:rPr>
        <w:t>E. 2.3</w:t>
      </w:r>
    </w:p>
    <w:p>
      <w:r>
        <w:t>Die angefochtene Verfügung erging vor dem Inkrafttreten des neuen Rechts. Mangels vorherrschenden öffentlichen Interesses an einer unmittelbaren Anwendung der neuen Bestimmungen gilt vorliegend daher das AuG in seiner bis zum 31. Dezember 2018 geltenden Fassung (siehe F-3709/2017 E. 2.4 m.H.). Gleiches gilt für die Bezeichnung des Gesetzes. Es wird, wie die VZAE, in der bis dahin geltenden Version zitiert.</w:t>
      </w:r>
    </w:p>
    <w:p>
      <w:r>
        <w:rPr>
          <w:b/>
        </w:rPr>
        <w:t>E. 2.4</w:t>
      </w:r>
    </w:p>
    <w:p>
      <w:r>
        <w:t>Am 1. Juni 2019 trat sodann eine neue Fassung von Art. 99 AuG in Kraft (AS 2019 1413). Da eine Übergangsregelung fehlt, sind die darin enthaltenen neuen Verfahrensvorschriften gemäss ständiger Rechtsprechung sofort und in vollem Umfange anwendbar. Dieser intertemporale Grundsatz gilt lediglich dann nicht, wenn mit dem neuen Recht eine grundlegend neue Verfahrensordnung geschaffen wird. Eine solche Konstellation liegt nicht vor, weshalb die neuen Verfahrensregeln von Art. 99 AIG zur Anwendung gelangen (zum Ganzen vgl. Urteil des BVGer F-6072/2017 vom 4. Juli 2019 E. 4.1 - 4.3 m.w.H.).</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4</w:t>
      </w:r>
    </w:p>
    <w:p>
      <w:r>
        <w:t>Gemäss Art. 40 AuG sind die Kantone für die Erteilung und Verlängerung von Bewilligungen zuständig. Vorbehalten bleibt die Zuständigkeit des SEM für das Zustimmungsverfahren (vgl. Art. 99 AIG i.V.m. Art. 85 VZAE). Vorliegend hat die zuständige Migrationsbehörde ihren Entscheid korrekterweise der Vorinstanz zur Zustimmung vorgelegt (vgl. dazu BGE 141 II 169 E. 4.2.1, 4.3.2 und 6.1 sowie Art. 85 VZAE). Das SEM kann dabei die Zustimmung ohne Bindung an die Beurteilung durch den Kanton verweigern oder mit Bedingungen verbinden (vgl. Art. 86 Abs. 1 VZAE; ferner zum Ganzen die in BVGE 2017 VII/6 nicht publizierten E. 4.1 - 4.3 des Urteils F-7543/2015 vom 27. November 2017).</w:t>
      </w:r>
    </w:p>
    <w:p>
      <w:r>
        <w:rPr>
          <w:b/>
        </w:rPr>
        <w:t>E. 5.1</w:t>
      </w:r>
    </w:p>
    <w:p>
      <w:r>
        <w:t>Nach dem Wortlaut von Art. 30 Abs. 1 Bst. b AuG kann von den Zulassungsvoraussetzungen abgewichen werden, um schwerwiegenden persönlichen Härtefällen oder wichtigen öffentlichen Interessen Rechnung zu tragen. Gemäss Art. 31 Abs. 1 VZAE sind bei der Beurteilung eines schwerwiegenden persönlichen Härtefalles insbesondere die Integration des Gesuchstellers (Bst. a), die Respektierung der Rechtsordnung (Bst. b), seine Familienverhältnisse (Bst. c), die finanziellen Verhältnisse sowie der Wille zur Teilhabe am Wirtschaftsleben und zum Erwerb von Bildung (Bst. d), die Dauer der Anwesenheit in der Schweiz (Bst. e), der Gesundheitszustand (Bst. f) und die Möglichkeit für eine Wiedereingliederung im Herkunftsland (Bst. g) zu berücksichtigen.</w:t>
      </w:r>
    </w:p>
    <w:p>
      <w:r>
        <w:rPr>
          <w:b/>
        </w:rPr>
        <w:t>E. 5.2</w:t>
      </w:r>
    </w:p>
    <w:p>
      <w:r>
        <w:t>Schon aufgrund der Stellung des Art. 30 Abs. 1 Bst. b AuG im Gesetz (unter Abschnitt "Abweichung von den Zulassungsvoraussetzungen"), seiner Formulierung und den vom Bundesgericht in der Rechtsprechung zum entsprechenden Art. 13 Bst. f der Verordnung vom 6. Oktober 1986 über die Begrenzung der Zahl der Ausländer (BVO, AS 1986 1791) genannten und jetzt in Art. 31 Abs. 1 VZAE aufgeführten Kriterien, die allerdings weder einen abschliessenden Katalog darstellen noch kumulativ erfüllt sein müssen, ergibt sich, dass dieser Bestimmung Ausnahmecharakter zukommt und dass die Voraussetzungen zur Anerkennung eines Härtefalles restriktiv zu handhaben sind. Die betroffene Person muss sich mithin in einer persönlichen Notlage befinden.</w:t>
      </w:r>
    </w:p>
    <w:p>
      <w:r>
        <w:rPr>
          <w:b/>
        </w:rPr>
        <w:t>E. 5.3</w:t>
      </w:r>
    </w:p>
    <w:p>
      <w:r>
        <w:t>Bei der Beurteilung eines Härtefalles müssen sämtliche Umstände des jeweiligen Einzelfalles berücksichtigt werden. Die Anerkennung als Härtefall setzt nicht zwingend voraus, dass die Anwesenheit in der Schweiz das einzige Mittel zur Verhinderung einer persönlichen Notlage darstellt. Auf der anderen Seite reichen eine lang dauernde Anwesenheit und eine fortgeschrittene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Beziehungen, welche die betroffene Person während ihres Aufenthaltes in der Schweiz knüpfen konnte, genügen normalerweise nicht für eine Abweichung von den Zulassungsvoraussetzungen (vgl. BVGE 2017 VII/6 E. 6.3 m.H.).</w:t>
      </w:r>
    </w:p>
    <w:p>
      <w:r>
        <w:rPr>
          <w:b/>
        </w:rPr>
        <w:t>E. 5.4</w:t>
      </w:r>
    </w:p>
    <w:p>
      <w:r>
        <w:t>Zu beachten gilt es ferner, dass im Zusammenhang mit dem schwerwiegenden persönlichen Härtefall ausschliesslich humanitäre Gesichtspunkte ausschlaggebend sind, wobei der Schwerpunkt auf der Verankerung in der Schweiz liegt. Im Rahmen einer Gesamtschau sind jedoch seit jeher auch der Gesundheitszustand einer Person sowie die Möglichkeiten einer Wiedereingliederung im Herkunftsland mitzuberücksichtigen (vgl. Art. 31 Abs. 1 Bst. f und g VZAE). Diese Prüfung kann nicht losgelöst von den persönlichen, familiären und ökonomischen Schwierigkeiten erfolgen, denen eine ausländische Person in ihrem Heimatland ausgesetzt wäre (vgl. BGE 123 II 125 E. 3 S. 128). Daraus ergibt sich eine gewisse Überschneidung von Gründen, die für die Beurteilung der Vollziehbarkeit einer verfügten Wegweisung von Bedeutung sind (vgl. Art. 83 AuG), und solchen, die einen Härtefall (mit)begründen können. Das ist nicht zu vermeiden und in Kauf zu nehmen (vgl. Urteil des BVGer F-2307/2016 vom 13. September 2018 E. 8.2 m.H.).</w:t>
      </w:r>
    </w:p>
    <w:p>
      <w:r>
        <w:rPr>
          <w:b/>
        </w:rPr>
        <w:t>E. 5.5</w:t>
      </w:r>
    </w:p>
    <w:p>
      <w:r>
        <w:t>Rechtswidrige Aufenthalte werden bei der Härtefallprüfung grundsätzlich nicht berücksichtigt (anders Aufenthalte im Rahmen eines Verfahrens auf Erteilung einer Aufenthaltsbewilligung, vgl. dazu Urteil des BVGer C-384/2013 vom 15. Juli 2015 E. 5.3 m.H.). In solchen Fällen hat die Behörde jedoch zu prüfen, ob sich die betroffene Person aus anderen Gründen in einer schwerwiegenden persönlichen Notlage befindet. Dazu ist auf ihre familiären Beziehungen in der Schweiz und in ihrem Heimatland sowie auf ihre gesundheitliche und berufliche Situation, ihre soziale Integration sowie die weiteren Umstände des Einzelfalles abzustellen. In diesem Zusammenhang ist auch das Verhalten der Behörden - beispielsweise ein nachlässiger Wegweisungsvollzug - zu berücksichtigen (vgl. BGE 130 II 39 E. 3 m.H.).</w:t>
      </w:r>
    </w:p>
    <w:p>
      <w:r>
        <w:rPr>
          <w:b/>
        </w:rPr>
        <w:t>E. 6.1</w:t>
      </w:r>
    </w:p>
    <w:p>
      <w:r>
        <w:t>Die Vorinstanz führt in der angefochtenen Verfügung hauptsächlich aus, es sei in einem zweijährigen Verfahren über vier Instanzen hinweg festgestellt worden, dass der Lebensmittelpunkt des Beschwerdeführers 1 von 2001 bis 2012 in Nordmazedonien gelegen habe und ein später Wechsel in eine Schule in einem fremden Land und mit fremder Unterrichtssprache nicht zu seinem Wohle sei. Seit der Wiedereinreise in die Schweiz sei etwas mehr als ein Jahr vergangen. Die Anmeldung für das beginnende berufsvorbereitende Schuljahr bedeute noch keine erfolgreiche berufliche und gesellschaftliche Integration. Weitere diesbezügliche Schritte könnten den Akten nicht entnommen werden. Zum Gesundheitszustand des Beschwerdeführers 1 lägen sodann keine aktuellen Belege vor. Es handle sich überdies um ein Kriterium, welches nur in Verbindung mit anderen Elementen zur Anerkennung eines schwerwiegenden persönlichen Härtefalles führen könne. Ohnehin erweise sich die Argumentation des Parteivertreters hinsichtlich der gesundheitlichen Probleme seines Mandanten bzw. der Integration als widersprüchlich. Schliesslich habe es sich bei den Ereignissen vom Mai 2015 in Kumanovo um einen zeitlich und lokal begrenzten Vorfall gehandelt. Ansonsten gebe es in Nordmazedonien weder einen bewaffneten Konflikt noch herrsche dort ein Klima allgemeiner Gewalt, weshalb dies einer Reintegration in dem Land, in welchem der Betroffene seine Kindheit und die ersten Jahre der besonders prägenden Adoleszenz verbracht habe, nicht entgegenstehe. Die Voraussetzungen von Art. 30 Abs. 1 Bst. b AuG i.V.m. Art. 31 VZAE seien daher nicht erfüllt. In der Vernehmlassung ergänzte das SEM, dass ein persönlicher Härtefall im dargelegten Sinne schwergewichtig darauf zurückzuführen sein müsse, dass bestehende Beziehungen zur Schweiz nicht mehr gelebt werden könnten.</w:t>
      </w:r>
    </w:p>
    <w:p>
      <w:r>
        <w:rPr>
          <w:b/>
        </w:rPr>
        <w:t>E. 6.2</w:t>
      </w:r>
    </w:p>
    <w:p>
      <w:r>
        <w:t>Der Beschwerdeführer 1 lässt in der Rechtsmitteleingabe vom 4. Oktober 2016 - unter Bezugnahme auf Art. 47 AuG, Art. 75 VZAE und Art. 8 EMRK - im Wesentlichen vorbringen, er habe von April 2012 bis Oktober 2014 in X._______ die Schule besucht und hierbei gute Leistungen erbracht. Auch sozial habe er sich um Integration bemüht, was die Vereinsmitgliedschaft in einem Basketballklub zeige. In Nordmazedonien habe er seit 2012 keinerlei Schulen mehr besucht und den schulischen Anschluss dort verpasst. Seit der fluchtartigen Ausreise aus Nordmazedonien im Mai 2015 setze er alles daran, sich hierzulande eine berufliche Zukunft aufzubauen. Zurzeit absolviere er das berufsvorbereitende Schuljahr am BBZ in Biel. Seine Mutter (die Beschwerdeführerin 2) sei ohne Unterstützung der Sozialdienste in der Lage, ihm unter gesicherten Umständen eine Ausbildung zu ermöglichen. Bei einer erneuten Wegweisung aus der Schweiz sähe er sich wie bereits 2014 gezwungen, alle beruflichen Pläne hinter sich zu lassen, und er stünde wiederum vor dem Nichts. Auslöser seiner gesundheitlichen Probleme seien die Vorfälle in Kumanovo im Mai 2015 und der Tod seines Vaters im Dezember 2015 gewesen. Das Zusammensein mit der Mutter, die Wiederaufnahme der schulischen Ausbildung in der Schweiz sowie die geglückte Reintegration würden seine psychische Genesung begünstigen. Mit der Replik und mehreren Nachträgen reichte der Beschwerdeführer 1 verschiedene Beweismittel zu seiner beruflichen, gesundheitlichen und sozialen Situation sowie zu den wirtschaftlichen Verhältnissen seiner Mutter ein.</w:t>
      </w:r>
    </w:p>
    <w:p>
      <w:r>
        <w:rPr>
          <w:b/>
        </w:rPr>
        <w:t>E. 7</w:t>
      </w:r>
    </w:p>
    <w:p>
      <w:r>
        <w:t>Nicht näher einzugehen ist aufgrund des Verfahrensgegenstandes auf die vom Rechtsvertreter aus Art. 47 AuG und Art. 8 EMRK abgeleiteten Ansprüche. Darüber wurde im Verfahren betreffend Niederlassungsbewilligung/Familiennachzug rechtskräftig befunden (vgl. das in dieser Angelegenheit ergangene bundesgerichtliche Urteil 2C_1224/2012 vom 26. August 2013 [SEM act. 2, pag. 59 - 68]). Auch die Einwohner- und Spezialdienste der Stadt Biel haben das Familiennachzugsgesuch vom 9. Oktober 2015 der Vorinstanz denn allein zwecks Zustimmung zur Erteilung einer Härtefallbewilligung überwiesen (SEM act. 2, pag. 114 - 117). Die Vorbringen der Beschwerdeführenden sind daher einzig unter dem Aspekt von Art. 30 Abs. 1 Bst. b AuG i.V.m. Art. 31 VZAE zu würdigen (vgl. hierzu beispielsweise Urteil des BVGer F-5897/2017 vom 23. Juli 2019 E. 5.2 m.H.).</w:t>
      </w:r>
    </w:p>
    <w:p>
      <w:r>
        <w:rPr>
          <w:b/>
        </w:rPr>
        <w:t>E. 7.1</w:t>
      </w:r>
    </w:p>
    <w:p>
      <w:r>
        <w:t>Der Beschwerdeführer 1 verbrachte von 2001 bis 2012 die meiste Zeit in Mazedonien. Die vorinstanzliche Feststellung, dass sich sein Lebensmittelpunkt während diesen elf Jahren in jenem Land befunden habe, ist insoweit nicht zu beanstanden. Daran anknüpfend gilt es indes gewisse Besonderheiten dieses Einzelfalles mit in Betracht zu ziehen. Dazu gehört, dass sich der Beschwerdeführer andererseits von 1998 bis 2001, von April 2012 bis Oktober 2014 sowie ab Mai 2015 durchgehend in der Schweiz aufhielt. Dieser Ausgangslage mit den Eigenheiten der jeweiligen Zeitspannen gilt es bei der Würdigung der nachfolgenden Vorbringen Rechnung zu tragen.</w:t>
      </w:r>
    </w:p>
    <w:p>
      <w:r>
        <w:rPr>
          <w:b/>
        </w:rPr>
        <w:t>E. 7.2</w:t>
      </w:r>
    </w:p>
    <w:p>
      <w:r>
        <w:t>Der Rechtsvertreter verweist auf Beschwerdeebene vorerst auf die gelungene schulische Integration seines Mandanten.</w:t>
      </w:r>
    </w:p>
    <w:p>
      <w:r>
        <w:rPr>
          <w:b/>
        </w:rPr>
        <w:t>E. 7.2.1</w:t>
      </w:r>
    </w:p>
    <w:p>
      <w:r>
        <w:t>Was die diesbezüglichen, unter dem Aspekt von Art. 31 Abs. 1 Bst. a und Bst. d VZAE zu würdigenden Integrationsleistungen des Beschwerdeführers 1 anbelangt, so ergibt sich aus den Akten, dass er nach der ersten Rückkehr in die Schweiz im April 2012 bis Oktober 2014 während rund zweieinhalb Jahren die Sekundarschule in X._______ besuchte. Gemäss Bestätigung der Lehrpersonen der örtlichen Kreisoberstufe vom 22. August 2014 gelang es ihm rasch, am regulären Unterricht teilzunehmen (SEM act. 1, pag. 27). Von seiner hohen Lern- und Einsatzbereitschaft zeugen die in der fraglichen Periode erbrachten schulischen Leistungen (siehe dazu die beiden Schulzeugnisse in den Akten der städtischen Migrationsbehörde [Biel act.] 1 und 2). Ab Frühjahr 2014 kümmerte sich der Beschwerdeführer 1 um einen Ausbildungsplatz in der Schweiz und absolvierte mehrere Schnupperpraktika mit durchwegs positiven Rückmeldungen. Für ein solches Praktikum erhielt er auch eine Zusage von einem Optiker. Da er das Land Ende Oktober 2014 verlassen musste, konnte er diese Schnupperlehre nicht beenden (SEM act. 1 pag. 27 und SEM act. 4).</w:t>
      </w:r>
    </w:p>
    <w:p>
      <w:r>
        <w:rPr>
          <w:b/>
        </w:rPr>
        <w:t>E. 7.2.2</w:t>
      </w:r>
    </w:p>
    <w:p>
      <w:r>
        <w:t>Nach der Wiedereinreise in die Schweiz im Mai 2015 bemühte sich der Beschwerdeführer 1 um Wiederaufnahme bzw. Fortführung seiner schulischen Ausbildung. Zu diesem Zwecke meldete er sich am BBZ in Biel für das berufsvorbereitende Schuljahr 2016/2017 an (SEM act. 4, pag. 121). Diese Vollzeitschule besuchte er während zweier Jahre. Wie sich den eingereichten Unterlagen entnehmen lässt, tat er dies mit beachtlichem Erfolg (vgl. etwa Zwischenzeugnisse vom 23. Dezember 2016, 27. Januar 2017 oder 26. Januar 2018 für die Schuljahre 2016/2017 bzw. 2017/2018, unter BVGer act. 9 und 14). Daraus ergeben sich die ebenfalls guten Sprachkenntnisse. Parallel dazu bemühte er sich aktiv um eine Lehrstelle. Ein Teil dieser Bemühungen, so bei der BKW und der Kantonspolizei Bern, ist beweismässig belegt (vgl. BVGer act. 10). Nach Darstellung des Parteivertreters, der sich seinerseits auf eine Mitteilung des Personalverantwortlichen der Berner Kantonspolizei vom 6. Juni 2017 beruft, hätte sein Mandant im Falle der Erteilung einer Aufenthaltsbewilligung damals eine Lehrstelle als Fachmann «Betriebsunterhalt EFZ Hausdienst» antreten können (BVGer act. 11). Stattdessen besucht der Beschwerdeführer 1 nun seit August 2018 im Berufsbildungszentrum «Feusi» in Biel die Handelsschule. Den entsprechenden Bestätigungen vom 16. August 2018 und 5. April 2019 zufolge wird er den schulischen Teil des Qualifikationsverfahrens zum Kaufmann im Mai/Juni 2020 ablegen, sich vom Juli 2020 bis Juli 2021 in einem Vollzeitpraktikum befinden und im Mai/Juni 2021 den betrieblichen Teil des Qualifikationsverfahrens absolvieren (BVGer act. 15 und 16).</w:t>
      </w:r>
    </w:p>
    <w:p>
      <w:r>
        <w:rPr>
          <w:b/>
        </w:rPr>
        <w:t>E. 7.2.3</w:t>
      </w:r>
    </w:p>
    <w:p>
      <w:r>
        <w:t>Bei der Integrationsbeurteilung erscheint es stets angezeigt, eine zukunftsgerichtete Betrachtungsweise im Entscheidzeitpunkt vorzunehmen (vgl. Urteil des BGer 2C_65/2014 vom 27. Januar 2015 E. 3.2 und 3.4 m.H.). Wie eben dargetan, hat der Beschwerdeführer, nachdem andere Möglichkeiten einer Lehre mangels Aufenthaltsbewilligung gescheitert sind, den Weg der Handelsschule eingeschlagen. Die Ausbildung zum Kaufmann hat er bereits zur Hälfte absolviert, und er befindet sich im von der Schule vorgegebenen zeitlichen Rahmen. Der dargelegten Entwicklung kommt bei der vorzunehmenden Gesamtwürdigung einiges Gewicht zu. Es kann von einer erfolgreichen schulischen bzw. beruflichen Integration ausgegangen werden.</w:t>
      </w:r>
    </w:p>
    <w:p>
      <w:r>
        <w:rPr>
          <w:b/>
        </w:rPr>
        <w:t>E. 7.3</w:t>
      </w:r>
    </w:p>
    <w:p>
      <w:r>
        <w:t>Ähnlich verhält es sich mit der sozialen Integration. Dass der Beschwerdeführer 1 die deutsche Sprache beherrscht, ergibt sich aus den Schulzeugnissen. Ausserdem spricht er Schweizerdeutsch. Familiär besteht ein enger Bezug zu der im vorliegenden Verfahren als Beschwerdeführerin 2 auftretenden Mutter. Seine beiden älteren Brüder, mit denen er einige Zeit in Nordmazedonien verbracht hat, leben mit Aufenthaltsbewilligungen mittlerweile ebenfalls in der Schweiz. Auch ausserhalb der familiären Bande ist der Beschwerdeführer 1 in ein Beziehungsnetz eingebunden. So engagierte er sich von 2012 bis 2014 in einem Basketballverein (SEM act. 1, pag. 28) und er hat hierzulande, wie dies von verschiedener Seite bestätigt wird, viele Freunde (vgl. beispielsweise SEM act. 1, pag. 27 bzw. 29/30, SEM act. 2, pag. 90 - 92 oder die zwei Unterstützungsschreiben als Beilage zur Replik [BVGer act. 9]). Zu Gute zu halten sind ihm sodann sein tadelloser straf- und betreibungsrechtlicher Leumund (vgl. Art. 31 Abs. 1 Bst. b VZAE, mit entsprechenden Beweismitteln unter BVGer act. 14). Ausserdem hat er nie Sozialhilfe bezogen. Bei der Härtefallprüfung steht die Frage im Vordergrund, ob bestehende enge Beziehungen zur Schweiz nicht mehr gelebt werden können bzw. ob die Verankerung hierzulande die Wiedereingliederung im Heimatland erschweren würde (siehe E. 5.3 hiervor). Eine solche Verankerung ist auf Seiten des Beschwerdeführers 1 nach dem bisher Gesagten zu bejahen.</w:t>
      </w:r>
    </w:p>
    <w:p>
      <w:r>
        <w:rPr>
          <w:b/>
        </w:rPr>
        <w:t>E. 7.4</w:t>
      </w:r>
    </w:p>
    <w:p>
      <w:r>
        <w:t>Einer differenzierteren Betrachtung bedarf die Dauer der Anwesenheit in der Schweiz (Art. 31 Abs. 1 Bst. e VZAE) als weiterem Aspekt bei der Beurteilung, ob ein schwerwiegender persönlicher Härtefall vorliegt.</w:t>
      </w:r>
    </w:p>
    <w:p>
      <w:r>
        <w:rPr>
          <w:b/>
        </w:rPr>
        <w:t>E. 7.4.1</w:t>
      </w:r>
    </w:p>
    <w:p>
      <w:r>
        <w:t>Die Vorinstanz hält unter Verweis auf die im Verfahren betreffend Niederlassungsbewilligung/Familiennachzug ergangenen Urteile dafür, dass sich der Lebensmittelpunkt des Beschwerdeführers 1 von 2001 bis 2012 in Nordmazedonien befunden habe. Dies mag zugetroffen haben, allerdings können die Gründe für besagte längere Landesabwesenheit nicht ausgeklammert werden. Ein Hauptgrund dafür, dass der Betroffene mit seinen Brüdern einen Teil der Kinder- und Jugendzeit in Nordmazedonien verbrachte, lag nämlich im prekären Gesundheitszustand des Vaters, der nach einem schweren Unfall ab 1999 ständiger ärztlicher und psychiatrischer Betreuung bedurfte (vgl. SEM act. 1, pag. 1 - 5 und 29/30 sowie Biel act. i.S. Beschwerdeführerin 2). Aufgrund seines damaligen Kindesalters nicht vorgehalten werden kann ihm darüber hinaus, dass ihn die Eltern in der Schweiz nie abmeldeten. In Nordmazedonien besuchte der Beschwerdeführer 1 ein Schulinternat, wobei er nicht die gesamte obligatorische Schulzeit dort absolvierte (siehe auch E. 7.4.2 hiernach). Kommt hinzu, dass er die Ferien mit seinen Geschwistern regelmässig in der Schweiz verbrachte, wo er auch medizinisch versorgt wurde (SEM act. 2, pag. 59 - 68). Es handelt sich hierbei um Faktoren, denen es unter dem Blickwinkel von Art. 31 Abs. 1 Bst. a, c und e VZAE Rechnung zu tragen gilt.</w:t>
      </w:r>
    </w:p>
    <w:p>
      <w:r>
        <w:rPr>
          <w:b/>
        </w:rPr>
        <w:t>E. 7.4.2</w:t>
      </w:r>
    </w:p>
    <w:p>
      <w:r>
        <w:t>Die Anwesenheit des Beschwerdeführers 1 in der Schweiz beläuft sich auf insgesamt nicht ganz zehn Jahre, ununterbrochen hält er sich seit viereinhalb Jahren hierzulande auf. Begünstigend fällt in diesem Zusammenhang ins Gewicht, dass er mit dem achten und neunten Schuljahr immerhin einen Teil der obligatorischen Schulzeit in der Schweiz durchlief. Auch die erfolgreich aufgegleiste berufliche Ausbildung erfolgt ausschliesslich hierzulande. Wie eben dargetan, begab er sich überdies ferienhalber etliche Male zu seinen damals im Kanton Solothurn ansässigen Eltern. Somit hat der Beschwerdeführer 1 seit der Rückkehr im Frühjahr 2012 bzw. Frühjahr 2015 wichtige Jahre der persönlichen, beruflichen und sozialen Entwicklung in der Schweiz verbracht. Die vorübergehende siebenmonatige Rückkehr 2014/2015 (vgl. hierzu Sachverhalt Bst. D und E vorstehend) vermag diese Aufenthaltsdauer nicht ausreichend zu relativieren.</w:t>
      </w:r>
    </w:p>
    <w:p>
      <w:r>
        <w:rPr>
          <w:b/>
        </w:rPr>
        <w:t>E. 7.4.3</w:t>
      </w:r>
    </w:p>
    <w:p>
      <w:r>
        <w:t>Angesichts der dargelegten schulischen Entwicklung sowie des Umstandes, dass die seitherige Anwesenheit die Jugendjahre und den Beginn des Erwachsenenlebens umfasst, hat der Beschwerdeführer 1 seinen Lebensmittelpunkt nach Auffassung des Bundesverwaltungsgerichts inzwischen in der Schweiz. Die vorinstanzliche Argumentation erweist sich in dieser Hinsicht mithin als überholt. Damit einher geht, dass er bei einer erneuten Rückkehr nach Nordmazedonien aus der jetzigen, ihm vertrauten Umgebung herausgerissen würde.</w:t>
      </w:r>
    </w:p>
    <w:p>
      <w:r>
        <w:rPr>
          <w:b/>
        </w:rPr>
        <w:t>E. 7.5</w:t>
      </w:r>
    </w:p>
    <w:p>
      <w:r>
        <w:t>Zu den Möglichkeiten der Reintegration im Herkunftsstaat (Art. 31 Abs. 1 Bst. g VZAE) gilt es zunächst festzuhalten, dass die Adoleszenz eine prägende Zeit darstellt und eine Person in einem bestimmten Umfeld verankert. Der Beschwerdeführer 1 hat einen grossen Teil dieser Zeit in der Schweiz verbracht. Während die Integration hierzulande stetig fortschritt, fand in Bezug auf Nordmazedonien eine Desintegration statt. Dieser Umstand genügt für sich genommen zwar nicht, um eine stark gefährdete Wiedereingliederung anzunehmen, indes finden sich in den Akten weitere Elemente, angesichts derer sich eine Reintegration besonders schwierig gestalten würde. So hat der Beschwerdeführer 1 in Nordmazedonien einerseits den schulischen Anschluss verloren, andererseits wäre die hier erfolgreich begonnene Ausbildung dort mit grosser Wahrscheinlichkeit nutzlos und könnte nicht in adäquater Weise fortgesetzt bzw. abgeschlossen werden. Müsste er trotzdem nach Nordmazedonien ausreisen, führte dies zwangsläufig dazu, dass er nach 2012 ein zweites Mal entwurzelt würde, was in seinem Falle eine unbillige Härte bedeuten würde. Einer Reintegration im Heimatland steht schliesslich der psychische Zustand des Beschwerdeführers 1 entgegen. Seine diesbezüglichen Probleme sind zumindest teilweise auf Gewalterfahrungen an seinem früheren Aufenthaltsort Kumanovo im Mai 2015 zurückzuführen (vgl. hierzu SEM act. 2, pag. 93, 94 und 98 sowie 100 - 103). Dementsprechend haben die diagnostizierten depressiven Symptome im hiesigen schulischen und familiären Umfeld abgenommen (vgl. Arztbericht vom 27. März 2018, unter BVGer act. 14).</w:t>
      </w:r>
    </w:p>
    <w:p>
      <w:r>
        <w:rPr>
          <w:b/>
        </w:rPr>
        <w:t>E. 7.6</w:t>
      </w:r>
    </w:p>
    <w:p>
      <w:r>
        <w:t>In Gesamtwürdigung aller Umstände kommt das Bundesverwaltungsgericht zum Schluss, dass die Voraussetzungen für die Annahme eines schwerwiegenden persönlichen Härtefalles im Sinne von Art. 30 Abs. 1 Bst. b AuG in der Person des Beschwerdeführers 1 erfüllt sind. Indem die Vorinstanz dies verneinte und deshalb ihre Zustimmung zur Erteilung einer Aufenthaltsbewilligung verweigerte, hat sie Bundesrecht verletzt (vgl. Art. 49 VwVG). Die Beschwerde ist daher gutzuheissen, die angefochtene Verfügung aufzuheben und der Erteilung der Aufenthaltsbewilligung durch die Einwohner- und Spezialdienste der Stadt Biel zuzustimmen.</w:t>
      </w:r>
    </w:p>
    <w:p>
      <w:r>
        <w:rPr>
          <w:b/>
        </w:rPr>
        <w:t>E. 8</w:t>
      </w:r>
    </w:p>
    <w:p>
      <w:r>
        <w:t>Bei diesem Ausgang des Verfahrens sind keine Kosten aufzuerlegen (Art. 63 Abs. 1 und Abs. 2 VwVG) und den Beschwerdeführenden ist für die ihnen erwachsenen notwendigen Kosten zu Lasten der Vorinstanz eine angemessene Parteientschädigung zuzusprechen (Art. 64 VwVG i.V.m. Art. 7 ff. des Reglements vom 21. Februar 2008 über die Kosten und Entschädigungen vor dem Bundesverwaltungsgericht [VGKE, SR 173.320.2]). In Berücksichtigung der Notwendigkeit der Eingaben, der Schwierigkeit der Streitsache in rechtlicher und tatsächlicher Hinsicht sowie der Bandbreite der ausgerichteten Entschädigungen in vergleichbaren Fällen ist die Parteientschädigung auf Fr. 1'500.- (inkl. Auslagen und Mehrwertsteuerzuschlag im Sinne von Art. 9 Abs. 1 Bst. c VGKE) festzusetzen. Dispositiv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