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F-6097/2017 vom 7. August 2018</w:t>
      </w:r>
    </w:p>
    <w:p>
      <w:r>
        <w:t>Bundesverwaltungsgericht, 2018-08-07, DE</w:t>
      </w:r>
    </w:p>
    <w:p>
      <w:r>
        <w:rPr>
          <w:b/>
        </w:rPr>
        <w:t xml:space="preserve">Quelle: </w:t>
      </w:r>
      <w:r>
        <w:t>https://mcp.opencaselaw.ch/entscheid/bvger_F-6097_2017</w:t>
      </w:r>
    </w:p>
    <w:p>
      <w:r>
        <w:t>FR: TAF F-6097/2017 du 7 août 2018</w:t>
      </w:r>
    </w:p>
    <w:p>
      <w:r>
        <w:t>IT: TAF F-6097/2017 del 7 agosto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vollständigoder vorübergehend aufheben (Abs. 5).</w:t>
      </w:r>
    </w:p>
    <w:p>
      <w:r>
        <w:rPr>
          <w:b/>
        </w:rPr>
        <w:t>E. 3.2</w:t>
      </w:r>
    </w:p>
    <w:p>
      <w:r>
        <w:t>Das in Art. 67 AuG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etwa Urteil des BVGer F-954/2016 vom 3. August 2016 E. 3.2 m.H.).</w:t>
      </w:r>
    </w:p>
    <w:p>
      <w:r>
        <w:rPr>
          <w:b/>
        </w:rPr>
        <w:t>E. 3.3</w:t>
      </w:r>
    </w:p>
    <w:p>
      <w:r>
        <w:t>Einen Verstoss gegen die öffentliche Sicherheit und Ordnung im Sinne von Art. 67 Abs. 2 Bst. a AuG begeht u.a. auch, wer Normen des Ausländer-rechts zuwiderhandelt (vgl. Botschaft, a.a.O., S. 3813).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statt vieler Urteil des BVGer F-5736/2015 vom 6. Januar 2017 E. 5.3 m.H.).</w:t>
      </w:r>
    </w:p>
    <w:p>
      <w:r>
        <w:rPr>
          <w:b/>
        </w:rPr>
        <w:t>E. 3.4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w:t>
      </w:r>
    </w:p>
    <w:p>
      <w:r>
        <w:t>Die Vorinstanz wirft der Beschwerdeführerin in ihrer Verfügung vor, gegen Bestimmungen des Ausländerrechts verstossen zu haben, indem sie ohne die erforderliche ausländerrechtliche Bewilligung erwerbstätig gewesen sei. Damit liege gemäss ständiger Praxis und Rechtsprechung ein Verstoss gegen die öffentliche Sicherheit und Ordnung im Sinne von Art. 67 Abs. 2 Bst. a AuG i.V.m. Art. 80 Abs. 1 Bst. a und Art. 80 As. 2 VZAE vor.</w:t>
      </w:r>
    </w:p>
    <w:p>
      <w:r>
        <w:rPr>
          <w:b/>
        </w:rPr>
        <w:t>E. 4.1</w:t>
      </w:r>
    </w:p>
    <w:p>
      <w:r>
        <w:t>Der ausländerrechtliche Begriff der Erwerbstätigkeit ist weit gefasst (vgl. Spescha, in: Spescha et al. [Hrsg.], Kommentar Migrationsrecht, 4. Aufl. 2015, N. 2 zu Art. 11 AuG). Als Erwerbstätigkeit im Sinne des Gesetzes gilt jede üblicherweise gegen Entgelt ausgeübte unselbständige oder selbständige Tätigkeit, selbst wenn sie unentgeltlich erfolgt (Art. 11 Abs. 2 AuG).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Rz 6). Ohne Belang für die Qualifikation als Erwerbstätigkeit ist dabei, ob die Beschäftigung nur stunden- oder tageweise oder vorübergehend ausgeübt wird (vgl. Art. 1a und 2 VZAE). Einschränkungen des Begriffs Erwerbstätigkeit können sich lediglich dort ergeben, wo der besondere Charakter der Hilfeleistung gerade durch die verwandtschaftliche und emotionale Nähe zwischen den Beteiligten gewährleistet ist und die ausführende Person daher nicht durch einen Dritten ersetzt werden könnte, ohne dass der besondere Charakter der Hilfeleistung verloren ginge (vgl. Urteil BVGer F-4130/2015 vom 16. September 2016 E. 6.2.2 m.H.).</w:t>
      </w:r>
    </w:p>
    <w:p>
      <w:r>
        <w:rPr>
          <w:b/>
        </w:rPr>
        <w:t>E. 4.2</w:t>
      </w:r>
    </w:p>
    <w:p>
      <w:r>
        <w:t>Die Beschwerdeführerin wurde am 27. September 2017 anlässlich einer Polizeikontrolle in einem Privathaushalt angetroffen, als sie zwei Kinder betreute, deren berufstätige Eltern zu diesem Zeitpunkt bei der Arbeit waren. Gemäss Verhaftungsrapport der Kantonspolizei Zürich gleichen Datums und dem polizeilichen Ermittlungsbericht räumte die Beschwerdeführerin ein, auf die Kinder aufgepasst zu haben, wenn deren Eltern nicht da gewesen seien. Wenn es gegen das Gesetz verstosse, dass sie auf die Kinder aufgepasst habe, habe sie wohl einen Fehler gemacht. Die Eltern hätten im Internet über ein Inserat ein Kindermädchen bzw. eine Hilfe gesucht, und da sie sie bereits aus Serbien gekannt habe (die Familie habe in B._______ gelebt, wo auch Verwandte von ihr gelebt hätten), habe sie sich auf das Inserat gemeldet. Mit der Familie sei sie nicht verwandt. Sie sei nur gestern und heute mit den Kindern allein gewesen. Sonst sei immer jemand von der Familie auch anwesend gewesen. Ob im Inserat ein Lohn angegeben worden sei, wisse sie nicht mehr. Geld interessiere sie nicht. Sie habe einfach in die Schweiz kommen wollen. Auch habe sie mit den Eltern keinen Lohn vereinbart. Da sie Gast der Familie sei, habe sie Kost und Logis frei (vgl. ZH-act. 2 S. 3-9).</w:t>
      </w:r>
    </w:p>
    <w:p>
      <w:r>
        <w:rPr>
          <w:b/>
        </w:rPr>
        <w:t>E. 4.3</w:t>
      </w:r>
    </w:p>
    <w:p>
      <w:r>
        <w:t>Unbestrittenermassen hat die Beschwerdeführerin demnach mindestens zweimal die beiden Kinder betreut und infolgedessen eine Tätigkeit erbracht, welche üblicherweise gegen Entgelt verrichtet wird. Die behauptete Unentgeltlichkeit der Kinderbetreuung und deren Häufigkeit spielen in diesem Zusammenhang keine Rolle (zur weiten Fassung des Erwerbsbegriffs siehe E. 4.2 hievor). Des Weiteren vermag es die Beschwerdeführerin nicht zu entlasten, dass sie sich ihrer Schuld nicht bewusst gewesen sein will, zumal es für die Verhängung eines Einreiseverbotes keines vorsätzlichen Verstosses gegen ausländerrechtliche Bestimmungen bedarf (vgl. vorstehend E. 3.3).</w:t>
      </w:r>
    </w:p>
    <w:p>
      <w:r>
        <w:rPr>
          <w:b/>
        </w:rPr>
        <w:t>E. 4.4</w:t>
      </w:r>
    </w:p>
    <w:p>
      <w:r>
        <w:t>Die Beschwerdeführerin wendet in der Beschwerdeschrift vom 26. Oktober 2017 einleitend ein, sie habe Einsprache gegen den Strafbefehl erhoben (vgl. BVGer act. 1). Aktenkundig wurde das Strafbefehlsverfahren sistiert (vgl. ZH-act. 14), der Strafbefehl ist demnach nicht rechtskräftig. Das Einreiseverbot knüpft jedoch direkt an die Störung der öffentlichen Sicherheit und Ordnung an und nicht an die Ahndung dieser Störung durch den Strafrichter. Ob eine solche Störung vorliegt, entscheidet die Migrationsbehörde grundsätzlich in eigener Zuständigkeit und Verantwortung. Im Interesse der Rechtssicherheit und Rechtseinheit wird sie jedoch nicht ohne Not von den tatsächlichen Feststellungen des Strafrichters abweichen (vgl. BVGE 2013/33 E. 4.3) und sofern keine Gefahr im Verzug ist - den rechtkräftigen Abschluss des Strafverfahrens abwarten. Etwas anderes gilt, wenn der Sachverhalt unbestritten ist oder aufgrund der Akten keine Zweifel an ihm bestehen (vgl. Urteil des BVGer F-1473/2016 vom 15. Mai 2017 E. 4.3.1 m.w.H.). Es genügt mithin, wenn - wie vorliegend (siehe E. 4.2 vorne) - Verdachtsmomente vorliegen, die von den Behörden als hinreichend konkret erachtet werden. In Erinnerung zu rufen gilt es an dieser Stelle nochmals, dass es für die Anordnung von Fernhaltemassnahmen im fraglichen Bereich keines vorsätzlichen Verstosses gegen gesetzliche Bestimmungen bedarf (siehe E. 3.3 hiervor).</w:t>
      </w:r>
    </w:p>
    <w:p>
      <w:r>
        <w:rPr>
          <w:b/>
        </w:rPr>
        <w:t>E. 4.5</w:t>
      </w:r>
    </w:p>
    <w:p>
      <w:r>
        <w:t>Vorliegend ist die Verletzung ausländerrechtlicher Bestimmungen offensichtlich. Nachdem die Beschwerdeführerin zuerst eingeräumt hatte, die Kinder in Abwesenheit ihrer Eltern betreut zu haben, erklärte sie später, sie habe nur zweimal alleine die beiden Kinder gehütet. Ihre Angst vor den möglichen Konsequenzen dürfte dazu geführt haben, dass sie versucht hat, die von ihr vorgenommene Tätigkeit in ihrem Ausmass zu schmälern. Diese Motivation dürfte auch ihrer erstmals in der Beschwerde erhobenen Behauptung zugrunde liegen, wonach sie während ihres Aufenthaltes in der Schweiz im Sinne einer sittlichen Pflicht auf die Kinder ihrer "Cousine" aufgepasst haben will. Da die Beschwerdeführerin bei der polizeilichen Einvernahme ausdrücklich erklärt hat, mit den Eltern der von ihr betreuten Kinder nicht verwandt zu sein, und sie auch im Rahmen des rechtlichen Gehörs keine familiären Beziehungen geltend machte, ist die erstmals in der Beschwerde geltend gemachte Verwandtschaft als reine Schutzbehauptung zu werten. Darüber hinaus hat das Gericht bereits in anderen Urteilen betont, dass das Kinderhüten im Rahmen der Verwandtschaft unter anderem nur bei engsten verwandtschaftlichen Beziehungen nicht als Erwerbstätigkeit angesehen werden könne.</w:t>
      </w:r>
    </w:p>
    <w:p>
      <w:r>
        <w:rPr>
          <w:b/>
        </w:rPr>
        <w:t>E. 4.6</w:t>
      </w:r>
    </w:p>
    <w:p>
      <w:r>
        <w:t>Durch die Erwerbstätigkeit ohne Bewilligung hat die Beschwerdeführerin einen Fernhaltegrund nach Art. 67 Abs. 2 Bst. a erster Halbsatz AuG gesetzt.</w:t>
      </w:r>
    </w:p>
    <w:p>
      <w:r>
        <w:rPr>
          <w:b/>
        </w:rPr>
        <w:t>E. 5</w:t>
      </w:r>
    </w:p>
    <w:p>
      <w:r>
        <w:t>Hinzu kommen die in der angefochtenen Verfügung nicht enthaltenen Vorwürfe der illegalen Einreise und des rechtswidrigen Aufenthalts (zur Zulässigkeit der Ergänzung der vorinstanzlichen Begründung im Sinne einer Motivsubstitution siehe beispielsweise Urteil des BVGer F-2682/2016 vom 20. Dezember 2016 E. 6.3 m. H.).</w:t>
      </w:r>
    </w:p>
    <w:p>
      <w:r>
        <w:rPr>
          <w:b/>
        </w:rPr>
        <w:t>E. 5.1</w:t>
      </w:r>
    </w:p>
    <w:p>
      <w:r>
        <w:t>Serbische Staatsangehörige, die über einen biometrischen Reisepass verfügen, sind für Kurzaufenthalte von 90 Tagen innerhalb von 180 Tagen von der Visumspflicht befreit (Art. 4 Abs. 3 der Verordnung vom 22. Oktober 2008 über die Einreise und die Visumerteilung [VEV, SR 142.204] i.V.m. Art. 1 Abs. 2 der Verordnung [EG] Nr. 539/2001 des Rates vom 15.03.2001, Abl. L 81/1 vom 21.03.2001). Etwas anderes gilt, wenn in der Schweiz eine Erwerbstätigkeit ausgeübt wird. Dann muss ein Visum eingeholt werden (Art. 4 Abs. 3 der Verordnung [EG] Nr. 539/2001 des Rates i.V.m. Art. 4 Abs. 4 Bst. a VEV). Des Weiteren benötigen ausländische Personen, die in der Schweiz einer Erwerbstätigkeit nachgehen wollen, unabhängig von der Aufenthaltsdauer eine Bewilligung (Art. 11 Abs. 1 AuG).</w:t>
      </w:r>
    </w:p>
    <w:p>
      <w:r>
        <w:rPr>
          <w:b/>
        </w:rPr>
        <w:t>E. 5.2</w:t>
      </w:r>
    </w:p>
    <w:p>
      <w:r>
        <w:t>Die Beschwerdeführerin reiste gemäss den Akten am 14. September 2017 mit dem Bus als Touristin in die Schweiz ein, um - laut ihren Angaben - ihrer Gastgeberfamilie mit den Kindern helfen und die Schweiz besuchen zu können. Zustande gekommen sei dies, weil sie sich auf ein Inserat gemeldet habe. Einen Lohn hätten sie nicht vereinbart. Indem sie die Kinder in Abwesenheit ihrer Eltern betreut hat, ist sie einer Erwerbstätigkeit im Sinne von Art. 11 Abs. 2 AuG nachgegangen (siehe dazu wiederum E. 4.2 weiter vorne). Über das hierfür nach Art. 4 Abs. 4 Bst. a VEV benötigte Visum verfügte sie jedoch nicht, womit sich die Einreise der Beschwerdeführerin im Nachhinein als rechtswidrig erweist (Art. 5 Abs. 1 AuG).</w:t>
      </w:r>
    </w:p>
    <w:p>
      <w:r>
        <w:rPr>
          <w:b/>
        </w:rPr>
        <w:t>E. 5.3</w:t>
      </w:r>
    </w:p>
    <w:p>
      <w:r>
        <w:t>Die Rechtswidrigkeit des Aufenthalts der Beschwerdeführerin wieder-um ergibt sich unmittelbar aus der Rechtswidrigkeit ihrer Einreise (vgl. Art. 10 Abs. 2 VZAE). Sie lässt sich daneben ebenfalls aus dem Umstand ableiten, dass die Beschwerdeführerin wegen ihrer Handlungen der Bewilligungspflicht unterlegen hätte, indes keine Bewilligung einholte (vgl. Art. 11 Abs. 1 AuG, ferner Urteil des BVGer F-1645/2016 vom 12. Januar 2017 E. 5.3).</w:t>
      </w:r>
    </w:p>
    <w:p>
      <w:r>
        <w:rPr>
          <w:b/>
        </w:rPr>
        <w:t>E. 5.4</w:t>
      </w:r>
    </w:p>
    <w:p>
      <w:r>
        <w:t>Damit liegen auch unter diesem Gesichtspunkt Verstösse im Sinne von Art. 67 Abs. 2 Bst. a AuG vor.</w:t>
      </w:r>
    </w:p>
    <w:p>
      <w:r>
        <w:rPr>
          <w:b/>
        </w:rPr>
        <w:t>E. 5.5</w:t>
      </w:r>
    </w:p>
    <w:p>
      <w:r>
        <w:t>Zusammenfassend ist festzuhalten, dass mehrere Gründe vorliegen, welche die Verhängung einer Fernhaltemassnahme zu rechtfertigen vermögen.</w:t>
      </w:r>
    </w:p>
    <w:p>
      <w:r>
        <w:rPr>
          <w:b/>
        </w:rPr>
        <w:t>E. 6.1</w:t>
      </w:r>
    </w:p>
    <w:p>
      <w:r>
        <w:t>Der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Die Beschwerdeführerin hat - wie festgestellt - wegen rechtswidriger Einreise, rechtswidrigen Aufenthaltes sowie Erwerbstätigkeit ohne Bewilligung in der Schweiz gegen die öffentliche Sicherheit und Ordnung im Sinne von Art. 67 Abs. 2 Bst. a AuG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Überdies liegt eine spezialpräventive Zielsetzung der Massnahme darin, dass sie die Betroffenen ermahnt, bei einer allfälligen künftigen Wiedereinreise in die Schweiz nach Ablauf der Dauer des Einreiseverbots die für sie geltenden Regeln einzuhalten (vgl. hierzu Urteil des BVGer F-5969/2016 vom 28. September 2017 E. 8.2 m.H.). Es besteht somit ein gewichtiges öffentliches Interesse an der Fernhaltung der Beschwerdeführerin.</w:t>
      </w:r>
    </w:p>
    <w:p>
      <w:r>
        <w:rPr>
          <w:b/>
        </w:rPr>
        <w:t>E. 6.3</w:t>
      </w:r>
    </w:p>
    <w:p>
      <w:r>
        <w:t>Den öffentlichen Interessen sind die privaten Interessen der Beschwerdeführerin gegenüberzustellen. Diesbezüglich blieb sie sehr vage und unbestimmt und machte im Rahmen der polizeilichen Einvernahme lediglich geltend, es sei schon immer ihr Wunsch gewesen, nach Abschluss ihres Studiums in der Schweiz zu leben. Infolgedessen sind keine privaten Interessen ersichtlich, die eine Aufhebung oder eine Verkürzung des Einreiseverbots zu rechtfertigen vermögen. Überdies sind der Beschwerdeführerin während der Geltungsdauer der Fernhaltemassnahme Besuchsaufenthalte bei ihr allfällig nahe stehenden Personen in der Schweiz nicht schlichtweg untersagt; das SEM kann die Fernhaltemassnahme auf begründetes Gesuch hin aus humanitären oder anderen wichtigen Gründen befristet suspendieren (vgl. Art. 67 Abs. 5 AuG; BVGE 2013/4 E. 7.4.3 m.H.). Das verhängte Einreiseverbot stellt somit sowohl im Grundsatz als auch hinsichtlich der Dauer eine verhältnismässige und angemessene Massnahme zum Schutz der öffentlichen Sicherheit und Ordnung dar.</w:t>
      </w:r>
    </w:p>
    <w:p>
      <w:r>
        <w:rPr>
          <w:b/>
        </w:rPr>
        <w:t>E. 6.4</w:t>
      </w:r>
    </w:p>
    <w:p>
      <w:r>
        <w:t>Nicht zu beanstanden ist schliesslich, dass der Beschwerdeführerin die Einreise in das Hoheitsgebiet sämtlicher Schengen-Staaten verboten wurde (vgl. Art. 21 i.V.m. Art. 24 SIS-II-VO sowie BVGE 2014/20 E. 8.5 m.H.), geht es doch in casu um zentrale Bestimmungen der migrationsrechtlichen Ordnung, gegen welche die Beschwerdeführerin verstossen hat (Art. 115 Abs. 1 Bst. b AuG i.V.m. Art. 5 und 10 AuG). Die SIS-Ausschreibung erweist sich somit als verhältnismässig (Art. 24 Ziff. 2 Bst. b und Ziff. 3 SIS-II-VO).</w:t>
      </w:r>
    </w:p>
    <w:p>
      <w:r>
        <w:rPr>
          <w:b/>
        </w:rPr>
        <w:t>E. 7</w:t>
      </w:r>
    </w:p>
    <w:p>
      <w:r>
        <w:t>Aus diesen Erwägungen ergibt sich, dass die angefochtene Verfügung im Lichte von Art. 49 VwVG nicht zu beanstanden ist. Die Beschwerde ist demzufolge abzuweisen.</w:t>
      </w:r>
    </w:p>
    <w:p>
      <w:r>
        <w:rPr>
          <w:b/>
        </w:rPr>
        <w:t>E. 8.1</w:t>
      </w:r>
    </w:p>
    <w:p>
      <w:r>
        <w:t>Bei diesem Verfahrensausgang würde die Beschwerdeführerin grundsätzlich kostenpflichtig (Art. 63 Abs. 1 VwVG i.V.m. Art. 1, Art. 2 und Art. 3 Bst. b des Reglements vom 21. Februar 2008 über die Kosten und Entschädigungen vor dem Bundesverwaltungsgericht [VGKE, SR 173.320]). Die Beschwerdeführerin ersuchte jedoch um Gewährung der unentgeltlichen Rechtspflege. Im Instruktionsverfahren wurde darüber noch nicht befunden, weshalb dies nun nachzuholen ist.</w:t>
      </w:r>
    </w:p>
    <w:p>
      <w:r>
        <w:rPr>
          <w:b/>
        </w:rPr>
        <w:t>E. 8.2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m.H.). Als aussichtslos sind Prozessbegehren anzusehen, bei denen die Gewinnaussichten beträchtlich geringer sind als die Verlustgefahren und die deshalb kaum als ernsthaft bezeichnet werden können (BGE 138 III 217 E. 2.2.4 m.H.).</w:t>
      </w:r>
    </w:p>
    <w:p>
      <w:r>
        <w:rPr>
          <w:b/>
        </w:rPr>
        <w:t>E. 8.3</w:t>
      </w:r>
    </w:p>
    <w:p>
      <w:r>
        <w:t>Das Gesuch um Gewährung der unentgeltlichen Rechtspflege im Sinne von Art. 65 Abs. 1 und 2 VwVG ist abzuweisen, da der Beschwerde bereits im Zeitpunkt ihrer Einreichung (aufgrund der Aussagen der Beschwerdeführerin ist für eine bestimmte Zeitspanne und in gewissem Umfange von einer Verletzung ausländerrechtlicher Vorschriften auszugehen, das Einreiseverbot setzt weder ein Strafverfahren noch ein rechtskräftiges Strafurteil voraus) keine Aussicht auf Erfolg zugesprochen werden konnte (Art. 65 Abs. 1 VwVG). Dementsprechend sind die Verfahrenskosten, welche auf Fr. 1'000.- festzusetzen sind,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