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F-6091/2025 vom 13. November 2025</w:t>
      </w:r>
    </w:p>
    <w:p>
      <w:r>
        <w:t>Bundesverwaltungsgericht, 2025-11-13, FR</w:t>
      </w:r>
    </w:p>
    <w:p>
      <w:r>
        <w:rPr>
          <w:b/>
        </w:rPr>
        <w:t xml:space="preserve">Quelle: </w:t>
      </w:r>
      <w:r>
        <w:t>https://mcp.opencaselaw.ch/entscheid/bvger_F-6091_2025</w:t>
      </w:r>
    </w:p>
    <w:p>
      <w:r>
        <w:t>FR: TAF F-6091/2025 du 13 novembre 2025</w:t>
      </w:r>
    </w:p>
    <w:p>
      <w:r>
        <w:t>IT: TAF F-6091/2025 del 13 novembre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2.1</w:t>
      </w:r>
    </w:p>
    <w:p>
      <w:r>
        <w:t>Par un grief d'ordre formel, le recourant a reproché à l'autorité intimée d'avoir manqué à son devoir d'instruction en lien avec sa minorité alléguée. Il a également fait grief au SEM ne pas avoir instruit les faits relatifs à la traite des êtres humains à suffisance et de ne pas s'être déterminé sur ce point dans sa décision.</w:t>
      </w:r>
    </w:p>
    <w:p>
      <w:r>
        <w:rPr>
          <w:b/>
        </w:rPr>
        <w:t>E. 2.2</w:t>
      </w:r>
    </w:p>
    <w:p>
      <w:r>
        <w:t>En l'espèce, le Tribunal, qui dispose de tous les éléments de fait pertinents pour statuer, peut se dispenser d'examiner plus avant ce grief formel, dans la mesure où l'intéressé obtient gain de cause du point de vue matériel (cf. infra, consid. 3 ss). Il est néanmoins relevé que l'autorité intimée a admis, par sa réponse, avoir omis de se prononcer sur la question relative à la traite des êtres humains dans la décision querellée.</w:t>
      </w:r>
    </w:p>
    <w:p>
      <w:r>
        <w:rPr>
          <w:b/>
        </w:rPr>
        <w:t>E. 3.1</w:t>
      </w:r>
    </w:p>
    <w:p>
      <w:r>
        <w:t>Sur le plan matériel,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3.2</w:t>
      </w:r>
    </w:p>
    <w:p>
      <w:r>
        <w:t>Aux termes de l'art. 3 par. 1 RD III, une demande de protection internationale est examinée par un seul Etat membre, celui-ci étant déterminé selon les critères fixés au chapitre III.</w:t>
      </w:r>
    </w:p>
    <w:p>
      <w:r>
        <w:rPr>
          <w:b/>
        </w:rPr>
        <w:t>E. 3.3</w:t>
      </w:r>
    </w:p>
    <w:p>
      <w:r>
        <w:t>En vertu de l'art. 8 par. 4 RD III - qui prévoit un critère de responsabilité pouvant, par renvoi de l'art. 7 par. 3 RD III, être invoqué dans le cadre d'une procédure de reprise en charge tel qu'en l'espèce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La Cour de justice de l'Union européenne (ci-après : CJUE) a interprété la disposition qui équivaut à l'actuel art. 8 par. 4 RD III, en ce sens qu'en présence d'un mineur non accompagné dont aucun membre de la famille ne se trouve légalement sur le territoire d'un Etat membre et qui a déposé des demandes d'asile dans plus d'un Etat membre, l'Etat membre compétent est celui dans lequel se trouve ce mineur après y avoir déposé une demande d'asile (cf. arrêt de la CJUE du 6 juin 2013 C-648/11 MA, BT et DA / Royaume-Uni, ECLI:EU:C:2013:367, par. 66).</w:t>
      </w:r>
    </w:p>
    <w:p>
      <w:r>
        <w:rPr>
          <w:b/>
        </w:rPr>
        <w:t>E. 3.4</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de l'intéressé dans son pays d'origine, son entourage familial et sa scolarité (cf. arrêt du Tribunal fédéral [ci-après : TF] 1C_641/2023 du 11 avril 2024 consid. 2.1.2 ; ATAF 2019 I/6 consid. 5.5). Si des indices laissent supposer qu'un requérant prétendument mineur a atteint l'âge de la majorité, une expertise visant à déterminer son âge peut être ordonnée (art. 17 al. 3bis LAsi et 7 al. 1 de l'ordonnance 1 sur l'asile du 11 août 1999 [OA 1, RS 142.311]). Ainsi, si la minorité alléguée ne peut pas être prouvée par pièces, il convient de procéder à une appréciation globale de tous les autres éléments plaidant en faveur et en défaveur de l'âge déclaré (cf. arrêt du TF 1C_641/2023 précité consid. 2.1.2 ; ATAF 2023 VI/4 consid. 6.5 ; 2018 VI/3 consid. 4.2.2). Selon la jurisprudence constante, il incombe au requérant qui entend se prévaloir de sa minorité de la rendre pour le moins vraisemblable, s'il entend en déduire un droit, sous peine d'en supporter les conséquences juridiques (cf. arrêt du TF 1C_641/2023 précité consid. 2.1.2 ; ATAF 2023 VI/4 consid. 6.3).</w:t>
      </w:r>
    </w:p>
    <w:p>
      <w:r>
        <w:rPr>
          <w:b/>
        </w:rPr>
        <w:t>E. 4.1</w:t>
      </w:r>
    </w:p>
    <w:p>
      <w:r>
        <w:t>En l'occurrence, il n'est pas contesté que le recourant n'a produit aucune pièce d'identité au sens de l'art. 1a let. c OA 1. En effet, il a transmis uniquement une copie de son acte de naissance et une photographie d'une attestation scolaire. En l'absence de preuve formelle, il reste donc à apprécier les autres éléments parlant en faveur, comme en défaveur, de la minorité alléguée par l'intéressé. Dans ce contexte et en vertu de la jurisprudence précitée (cf. supra, consid. 3.4), l'absence de pièces d'identité ne saurait, contrairement à ce qu'a retenu le SEM, constituer en elle-même un indice en défaveur de la vraisemblance de l'âge avancé.</w:t>
      </w:r>
    </w:p>
    <w:p>
      <w:r>
        <w:rPr>
          <w:b/>
        </w:rPr>
        <w:t>E. 4.2.1</w:t>
      </w:r>
    </w:p>
    <w:p>
      <w:r>
        <w:t>Le Tribunal relève tout d'abord qu'à la suite de la décision incidente du 20 août 2025, l'autorité intimée a, à juste titre, retenu, conformément à l'ATAF 2018 VI/3, que « les résultats de l'expertise [n'étaient] effectivement pas déterminants au sens de la jurisprudence » et que « la majorité et la minorité [étaient] toutes les deux possibles » (cf. réponse p. 1), revenant ainsi sur sa position selon laquelle l'issue du rapport représentait « un indice fort de [la] majorité » (cf. décision p. 8). Nonobstant cette conclusion, le SEM a estimé que les résultats de l'analyse des dents et de la clavicule constituaient un indice que la majorité avait très probablement été atteinte.</w:t>
      </w:r>
    </w:p>
    <w:p>
      <w:r>
        <w:rPr>
          <w:b/>
        </w:rPr>
        <w:t>E. 4.2.2</w:t>
      </w:r>
    </w:p>
    <w:p>
      <w:r>
        <w:t>Dans le rapport sur l'analyse dentaire, il est certes indiqué que la probabilité que le recourant ait atteint la majorité est élevée, avec des valeurs à cet égard supérieures à 90%. Quant à l'âge osseux au niveau des articulations sternoclaviculaires, il correspond à un stade, pour lequel les âges minimum et maximum sont de 17,6 ans respectivement 36,5 ans. La grande majorité de la fourchette d'âge est ainsi effectivement supérieure à 18 ans. Toutefois, par l'arrêt de principe précité, lequel a été coordonné au sein de toutes les cours concernées et publié aux ATAF, le Tribunal a conclu que la valeur probante des évaluations médicales de l'âge était déterminée en fonction de l'âge minimal (cf. ATAF 2018 VI/3 consid. 4.2.2). Or, l'âge minimum issu du CT-scanner des articulations sternoclaviculaires est, tel qu'évoqué, inférieur à 18 ans. De plus, des âges minimaux sont disponibles en relation avec les résultats de l'orthopantomogramme et tous se situent également en dessous de 18 ans (15,72, 16,51 et 17,38 ans).</w:t>
      </w:r>
    </w:p>
    <w:p>
      <w:r>
        <w:rPr>
          <w:b/>
        </w:rPr>
        <w:t>E. 4.2.3</w:t>
      </w:r>
    </w:p>
    <w:p>
      <w:r>
        <w:t>Au demeurant, les experts ont, d'une part, exclu l'âge déclaré et, d'autre part, conclu qu'il était possible que le recourant soit âgé de moins de 18 ans.</w:t>
      </w:r>
    </w:p>
    <w:p>
      <w:r>
        <w:rPr>
          <w:b/>
        </w:rPr>
        <w:t>E. 4.2.4</w:t>
      </w:r>
    </w:p>
    <w:p>
      <w:r>
        <w:t>Dans ces conditions et en application de la jurisprudence issue dudit arrêt de principe, l'expertise médico-légale quant à l'âge ne permet pas de se prononcer sur la minorité ou la majorité de l'intéressé, celles-ci étant toutes les deux possibles (cf. ibid.). Partant, elle ne saurait, en aucun cas, être considérée comme un indice en faveur de la majorité.</w:t>
      </w:r>
    </w:p>
    <w:p>
      <w:r>
        <w:rPr>
          <w:b/>
        </w:rPr>
        <w:t>E. 4.3</w:t>
      </w:r>
    </w:p>
    <w:p>
      <w:r>
        <w:t>S'agissant des déclarations du recourant lors de son audition, le SEM a estimé qu'elles manquaient de spontanéité, de substance et de logique.</w:t>
      </w:r>
    </w:p>
    <w:p>
      <w:r>
        <w:rPr>
          <w:b/>
        </w:rPr>
        <w:t>E. 4.3.1</w:t>
      </w:r>
    </w:p>
    <w:p>
      <w:r>
        <w:t>Le Tribunal constate que, sur la base des propos de l'intéressé, la chronologie suivante peut être établie quant à la temporalité de sa vie en Somalie : le père du recourant serait décédé en 2013 ; postérieurement à cet événement, l'intéressé aurait déménagé vers une autre ville du pays, plus précisément en septembre 2017, dans laquelle il aurait habité deux ou trois ans ; dès 2020, il aurait vécu auprès de sa tante, près de la frontière avec le Kenya, environ trois ans ; il aurait fini par quitter la Somalie le 5 février 2024 (cf. procès-verbal de la PA RMNA, pièce SEM 14, nos 1.07 p. 4 et 3.01 p. 8). Il y a ainsi lieu de considérer qu'au regard des dates énoncées, le récit du recourant apparaît tout à fait cohérent et plausible. De plus, vu le caractère essentiellement fermé des questions posées, un manque de spontanéité saurait difficilement être reproché à celui-ci.</w:t>
      </w:r>
    </w:p>
    <w:p>
      <w:r>
        <w:rPr>
          <w:b/>
        </w:rPr>
        <w:t>E. 4.3.2</w:t>
      </w:r>
    </w:p>
    <w:p>
      <w:r>
        <w:t>Il en va de même des questions au sujet de la famille de l'intéressé. A ce propos, le Tribunal relève que celui-ci a été en mesure de nommer son clan et son sous-clan, puis a répondu aux questions posées sur ledit clan (cf. pièce SEM 14, no 1.04 p. 3). Le recourant a également énuméré les membres de sa famille vivant en Somalie (cf. pièce SEM 14, no 3.01 p. 8). Certes, il a alors déclaré ignorer l'activité professionnelle de son oncle. Conformément aux allégations du recours, cela pourrait cependant plutôt tendre à confirmer qu'ayant vécu entre ses 13 et 16 ans chez son oncle et sa tante, il se souciait encore peu des occupations relatives à la vie d'adulte.</w:t>
      </w:r>
    </w:p>
    <w:p>
      <w:r>
        <w:rPr>
          <w:b/>
        </w:rPr>
        <w:t>E. 4.3.3</w:t>
      </w:r>
    </w:p>
    <w:p>
      <w:r>
        <w:t>Tel que relevé par le SEM, les réponses données aux questions sur la procédure d'asile en France sont, quant à elles, peu précises (cf. pièce SEM 14, no 2.06 p. 7 s.). Cela étant, il ne ressort, en tout état de cause, pas du dossier sur la base de quelles investigations les autorités de ce pays se sont fondées pour déterminer le (...) 2000 en tant que date de naissance et, par voie de conséquence, la majorité du recourant.</w:t>
      </w:r>
    </w:p>
    <w:p>
      <w:r>
        <w:rPr>
          <w:b/>
        </w:rPr>
        <w:t>E. 4.4</w:t>
      </w:r>
    </w:p>
    <w:p>
      <w:r>
        <w:t>C'est ensuite à juste titre que l'autorité intimée a retenu que le recourant avait indiqué, sur le formulaire de données personnelles, le (...) 2007 comme date de naissance. Au cours de la PA RMNA, puis dans son recours, l'intéressé a expliqué que, n'ayant pas dormi les deux nuits précédant son arrivée en Suisse, il était épuisé et confus au moment de remplir ledit formulaire. Par la suite, il aurait contacté sa mère, qui lui aurait parlé, pour la deuxième fois de sa vie, de sa date de naissance, soit le (...) 2008. A cet égard, il sied de relever que la date de naissance n'a que peu d'importance pratique et culturelle en Somalie et que les informations concernant l'âge proviennent souvent de la transmission orale par les parents et autres membres de la famille (cf. Landinfo [Norwegian Country of Origin Information Centre], Query response - Somalia : Date of birth, age and calendar, 17.02.2021, p. 1 s., &lt; https://landinfo.no/wp-content/uploads/2021/04/Query-response-Somalia-Date-of-birth-age-and-calendar-17032021.pdf , consulté le 28.10.2025). Dans ce contexte, une erreur sur l'année, liée notamment à la fatigue engendrée par le voyage migratoire, ne saurait être exclue d'emblée.</w:t>
      </w:r>
    </w:p>
    <w:p>
      <w:r>
        <w:rPr>
          <w:b/>
        </w:rPr>
        <w:t>E. 4.5</w:t>
      </w:r>
    </w:p>
    <w:p>
      <w:r>
        <w:t>Concernant les documents versés à la cause, le Tribunal souligne que le certificat de naissance a été établi seulement en date du 29 juillet 2025 - soit après l'audition - et que l'attestation scolaire a été transmise sous forme de copie, ce qui réduit d'autant leur force probante. Dans ces conditions, ces pièces constituent tout au plus un indice sur l'âge du recourant. Elles méritent néanmoins d'être prises en compte, à ce titre, dans l'appréciation globale des éléments à disposition (cf. en ce sens, arrêts du TAF F-7034/2025 du 25 septembre 2025 consid. 3.5 ; F-2521/2025 du 17 avril 2025 consid. 5.4). Il sied ainsi de constater que ledit certificat - établi pour les besoins de la présente procédure - indique le (...) 2008 comme date de naissance, soit celle alléguée par l'intéressé. Par rapport à l'attestation scolaire, c'est à bon droit que l'autorité inférieure a considéré que, se limitant à indiquer que ce dernier était un élève de l'établissement en 2017, elle ne fournissait aucune indication sur son âge précis.</w:t>
      </w:r>
    </w:p>
    <w:p>
      <w:r>
        <w:rPr>
          <w:b/>
        </w:rPr>
        <w:t>E. 4.6</w:t>
      </w:r>
    </w:p>
    <w:p>
      <w:r>
        <w:t>Au vu de ce qui précède, la conclusion à laquelle le SEM a abouti en relation avec l'âge de l'intéressé ne résiste pas à l'examen. A l'inverse, il convient, au regard de l'ensemble des éléments à disposition en l'espèce et, en particulier, des déclarations cohérentes de A._______ au sujet de son âge, de constater que celui-ci est parvenu à rendre sa minorité vraisemblable, étant rappelé qu'il s'agit de déterminer, dans le cadre de la présente procédure, si le prénommé est mineur ou majeur et non sa date de naissance exacte. Or, la minorité doit être considérée comme vraisemblable lorsqu'il existe certains éléments qui plaident en sa faveur, même si le Tribunal estime encore possible que le requérant d'asile soit déjà majeur (cf. ATAF 2023 VI/4 consid. 6.3 et jurisp. cit.). En application de l'art. 8 par. 4 RD III, c'est dès lors la Suisse qui est responsable pour le traitement de la demande d'asile de l'intéressé.</w:t>
      </w:r>
    </w:p>
    <w:p>
      <w:r>
        <w:rPr>
          <w:b/>
        </w:rPr>
        <w:t>E. 5</w:t>
      </w:r>
    </w:p>
    <w:p>
      <w:r>
        <w:t>Par conséquent, il y a lieu d'admettre le présent recours, d'annuler les chiffres 1 à 4 du dispositif de la décision du SEM du 5 août 2025 et de lui renvoyer la cause en l'invitant à examiner la demande d'asile du recourant en procédure nationale. Dans ces circonstances, le Tribunal peut se dispenser de se prononcer sur les autres griefs du recours.</w:t>
      </w:r>
    </w:p>
    <w:p>
      <w:r>
        <w:rPr>
          <w:b/>
        </w:rPr>
        <w:t>E. 6.1</w:t>
      </w:r>
    </w:p>
    <w:p>
      <w:r>
        <w:t>Compte tenu de l'issue de la cause, il n'y a pas lieu de percevoir de frais de procédure (art. 63 al. 1 et 2 PA), indépendamment de l'octroi de l'assistance judiciaire partielle par décision incidente du 22 août 2025.</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l'intéressé disposant d'une représentante juridique désignée dont émane le recours, il n'est pas alloué de dépens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