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F-6072/2020 vom 25. März 2022</w:t>
      </w:r>
    </w:p>
    <w:p>
      <w:r>
        <w:t>Bundesverwaltungsgericht, 2022-03-25, FR</w:t>
      </w:r>
    </w:p>
    <w:p>
      <w:r>
        <w:rPr>
          <w:b/>
        </w:rPr>
        <w:t xml:space="preserve">Quelle: </w:t>
      </w:r>
      <w:r>
        <w:t>https://mcp.opencaselaw.ch/entscheid/bvger_F-6072_2020</w:t>
      </w:r>
    </w:p>
    <w:p>
      <w:r>
        <w:t>FR: TAF F-6072/2020 du 25 mars 2022</w:t>
      </w:r>
    </w:p>
    <w:p>
      <w:r>
        <w:t>IT: TAF F-6072/2020 del 25 marzo 2022</w:t>
      </w:r>
    </w:p>
    <w:p>
      <w:pPr>
        <w:pStyle w:val="Heading2"/>
      </w:pPr>
      <w:r>
        <w:t>Regeste</w:t>
      </w:r>
    </w:p>
    <w:p>
      <w:r>
        <w:t>Assistance administrative</w:t>
      </w:r>
    </w:p>
    <w:p>
      <w:pPr>
        <w:pStyle w:val="Heading2"/>
      </w:pPr>
      <w:r>
        <w:t>Erwägungen</w:t>
      </w:r>
    </w:p>
    <w:p>
      <w:r>
        <w:rPr>
          <w:b/>
        </w:rPr>
        <w:t>E. 5.1.1</w:t>
      </w:r>
    </w:p>
    <w:p>
      <w:r>
        <w:t>Pour ce qui est des conditions de fond, le recourant argue que les informations le concernant ne rempliraient pas la condition de la pertinence vraisemblable dès lors qu'il n'aurait pas été fiscalement domicilié en France durant la période visée, mais en Suisse. Selon lui, il aurait démontré que c'est à la suite d'une erreur de la banque UBS que le numéro d'un de ses comptes bancaires figurait sur la liste « C », dans la mesure où il avait pris domicile en Suisse depuis la fin de l'année 2007 et n'était plus contribuable français depuis 2008. Par ailleurs, le recourant fait valoir en substance que ledit compte figurant à tort sur la liste précitée, l'AFC violerait le principe de l'interdiction de la pêche aux renseignements en accédant à la demande d'assistance administrative des autorités françaises du fait de l'absence d'assujettissement du contribuable pour les périodes fiscales concernées par ladite demande.</w:t>
      </w:r>
    </w:p>
    <w:p>
      <w:r>
        <w:rPr>
          <w:b/>
        </w:rPr>
        <w:t>E. 5.1.2</w:t>
      </w:r>
    </w:p>
    <w:p>
      <w:r>
        <w:t>En l'espèce, il apparaît sur la base tant de la demande des autorités françaises du 11 mai 2016 que de la décision de l'AFC que le numéro d'un des comptes bancaires du recourant figurait sur les listes communiquées par la DGFiP en raison d'un code domicile français permettant d'établir un critère d'assujettissement invoqué par l'Etat requérant.</w:t>
      </w:r>
    </w:p>
    <w:p>
      <w:r>
        <w:rPr>
          <w:b/>
        </w:rPr>
        <w:t>E. 5.1.3</w:t>
      </w:r>
    </w:p>
    <w:p>
      <w:r>
        <w:t>Cela étant,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5.1.4</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Partant, le premier grief invoqué par le recourant doit être rejeté.</w:t>
      </w:r>
    </w:p>
    <w:p>
      <w:r>
        <w:rPr>
          <w:b/>
        </w:rPr>
        <w:t>E. 5.2.1</w:t>
      </w:r>
    </w:p>
    <w:p>
      <w:r>
        <w:t>Le recourant estime ensuite que la demande du 11 mai 2016 constituerait une pêche aux renseignements proscrite sous l'angle temporel dès lors que les listes B et C - sur lesquelles se fonde ladite demande - datent de 2006 et 2008, soit plusieurs années avant le début de la période pour laquelle les renseignements sont demandés, à savoir 2010 à 2015. Selon le recourant, le seul fait de figurer sur lesdites listes ne rend pas vraisemblable que les personnes qui détenaient un compte entre 2006 et 2008 en possédaient encore un durant la période sous contrôle. A cet égard, il a précisé ne plus être un contribuable français depuis 2008, ce qui prohiberait, selon lui, une transmission d'informations à l'autorité française au-delà de cette période.</w:t>
      </w:r>
    </w:p>
    <w:p>
      <w:r>
        <w:rPr>
          <w:b/>
        </w:rPr>
        <w:t>E. 5.2.2</w:t>
      </w:r>
    </w:p>
    <w:p>
      <w:r>
        <w:t>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5.1.3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irrecevables les recours déposés contre ces décisions : cf. notamment arrêt du TF 2C_320/2021 du 30 avril 2021]). Au vu de ce qui précède, le grief invoqué par le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