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F-606/2021 vom 27. Juni 2022</w:t>
      </w:r>
    </w:p>
    <w:p>
      <w:r>
        <w:t>Bundesverwaltungsgericht, 2022-06-27, DE</w:t>
      </w:r>
    </w:p>
    <w:p>
      <w:r>
        <w:rPr>
          <w:b/>
        </w:rPr>
        <w:t xml:space="preserve">Quelle: </w:t>
      </w:r>
      <w:r>
        <w:t>https://mcp.opencaselaw.ch/entscheid/bvger_F-606_2021</w:t>
      </w:r>
    </w:p>
    <w:p>
      <w:r>
        <w:t>FR: TAF F-606/2021 du 27 juin 2022</w:t>
      </w:r>
    </w:p>
    <w:p>
      <w:r>
        <w:t>IT: TAF F-606/2021 del 27 giugno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 gelassen hat (vgl. Urteile des BVGer A-3045/2020, A-3047/2020 und A-3048/2020, jeweils vom 29. März 2021 E. 1.4.3, je mit Hinweisen).</w:t>
      </w:r>
    </w:p>
    <w:p>
      <w:r>
        <w:rPr>
          <w:b/>
        </w:rPr>
        <w:t>E. 3.1</w:t>
      </w:r>
    </w:p>
    <w:p>
      <w:r>
        <w:t>Der Beschwerdeführer macht eine Verletzung seines Anspruchs auf rechtliches Gehör in der Form des Akteneinsichtsrechts geltend.</w:t>
      </w:r>
    </w:p>
    <w:p>
      <w:r>
        <w:rPr>
          <w:b/>
        </w:rPr>
        <w:t>E. 3.2</w:t>
      </w:r>
    </w:p>
    <w:p>
      <w:r>
        <w:t>Das Akteneinsichtsrecht als Teilgehalt des Anspruchs auf rechtliches Gehör (Art. 29 Abs. 2 BV; BGE 137 IV 33 E. 9.2) wird für das Administrativverfahren vor eidgenössischen Verwaltungs- und Verwaltungsgerichtsbehörden durch Art. 26 ff. VwVG konkretisiert. Gemäss Art. 26 Abs. 1 Bst. b VwVG hat eine Partei Anspruch darauf, in ihrer Sache alle Aktenstücke einzusehen, die als Beweismittel dienen. Zu verlangen ist, dass die Akten massgeblich sind (BGE 137 IV 33 E. 9.2; 132 II 485 E. 3.2).</w:t>
      </w:r>
    </w:p>
    <w:p>
      <w:r>
        <w:rPr>
          <w:b/>
        </w:rPr>
        <w:t>E. 3.3</w:t>
      </w:r>
    </w:p>
    <w:p>
      <w:r>
        <w:t>Der Beschwerdeführer bringt vor, die Vorinstanz gebe in der Schlussverfügung zu, dass sie sein Akteneinsichtsrecht eingeschränkt habe. Sie habe eine durch eine deutsche Steuerbehörde im Rahmen eines parallel hängigen Amtshilfeverfahrens abgegebene Erklärung, eine durch die UBS in einem laufenden Untersuchungsverfahren der Bundesanwaltschaft eingereichte Stellungnahme sowie einen Durchsuchungsbeschluss der Staatsanwaltschaft Bochum vom 3. Juli 2013 für die Sachverhaltsermittlung beigezogen. In diese Akten habe der Beschwerdeführer keine Einsicht gehabt. Entgegen den Behauptungen der Vorinstanz handle es sich dabei nicht um Akten betreffend Drittverfahren. Die ESTV habe zu seinem Nachteil auf diese Akten abgestellt, da sie zum Schluss gekommen sei, dass diese keine Verletzung von Art. 7 Bst. c StAhiG (Grundsatz von Treu und Glauben) indizieren würden.</w:t>
      </w:r>
    </w:p>
    <w:p>
      <w:r>
        <w:rPr>
          <w:b/>
        </w:rPr>
        <w:t>E. 3.4</w:t>
      </w:r>
    </w:p>
    <w:p>
      <w:r>
        <w:t>Das Bundesverwaltungsgericht hat sich mit der identischen Rüge (auch in Bezug auf die Aktenstücke, in die Einsicht verlangt wird) bereits früher auseinandergesetzt und sie verworfen. Im entsprechenden Beschwerdeverfahren wurde geltend gemacht, der Einblick in diese Akten sei essentiell, um zu zeigen, dass das Amtshilfeverfahren auf gestohlenen Daten beruhe, zumal sich die ESTV auch darauf gestützt habe, um zu zeigen, dass keine Kausalität zwischen der von den deutschen Behörden erworbenen CD und den Informationen bestehe, auf welche sich das zu beurteilende Gesuch stütze. Das Bundesverwaltungsgericht kam jedoch zum Schluss, der Inhalt der fraglichen Aktenstücke habe keinen Einfluss auf die materielle Beurteilung des Amtshilfeersuchens gehabt. Dies deshalb, weil einerseits in Bezug auf die relevanten Daten der UBS keine Zusicherung Frankreichs vorliege, die Daten nicht zu verwenden. Andererseits sei auch nicht ersichtlich inwiefern im Rahmen der Beschlagnahmung der Dokumente der UBS Deutschland AG und der anschliessenden Weitergabe dieser Dokumente von Deutschland an Frankreich schweizerisches Recht verletzt worden sei. Selbst wenn mit Blick auf die ursprüngliche illegale Beschaffung der Daten in der Schweiz durch einen Bankmitarbeiter und die Weitergabe nach Deutschland (vgl. Urteil des Bundesstrafgerichts SK.2016.34 vom 21. Januar 2019) eine irgendwie geartete indirekte Kausalität zum Amtshilfeersuchen vom 11. Mai 2016 gegeben sein sollte, so lasse sich daraus kein treuwidriges Verhalten Frankreichs ableiten. Erstens sei die Kausalkette durch externe Faktoren wie namentlich die Ermittlungen der deutschen Strafbehörden unterbrochen oder doch zumindest stark beeinflusst worden. Zweitens handle es sich bei den von Frankreich verwendeten Daten nicht um jene, die in der Schweiz beschafft und nach Deutschland weitergegeben worden seien. Vielmehr gehe es um andere Daten, die anlässlich der später erfolgten Hausdurchsuchung gefunden und von Deutschland auf der Grundlage der der europäischen Richtlinie 2011/16 vom 15. Februar 2011 über die Zusammenarbeit der Verwaltungsbehörden im Bereich der Besteuerung und zur Aufhebung der Richtlinie 77/799/EWG (ABl. L 64/1 vom 11. März 2011) Frankreich mitgeteilt worden seien. Das Bundesverwaltungsgericht kam deshalb zum Schluss, es könne nicht davon gesprochen werden, dass zum Nachteil des dortigen Beschwerdeführers auf die Unterlagen abgestellt worden sei, in welche er Einsicht verlange. Zudem gehe deren Inhalt aus der angefochtenen Schlussverfügung hinreichend hervor. Unter diesen Umständen sei keine Verletzung des Anspruchs auf rechtliches Gehör festzustellen (vgl. zum Ganzen Urteile des BVGer A-3045/2020 vom 29. März 2021 E. 5.4 und A-3048/2020 vom 29. März 2021 E. 5.2.3.2 und 5.4 m.w.H.). Das Gleiche gilt für den vorliegenden Fall. Eine Verletzung des Akteneinsichtsrechts liegt nicht vor.</w:t>
      </w:r>
    </w:p>
    <w:p>
      <w:r>
        <w:rPr>
          <w:b/>
        </w:rPr>
        <w:t>E. 4.1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4.2</w:t>
      </w:r>
    </w:p>
    <w:p>
      <w:r>
        <w:t>Das Amtshilfeersuchen der DGFP stützt sich auf Art. 28 DBA CH-FR (in der hier anwendbaren Fassung gemäss Art. 7 des Zusatzabkommens vom 27. August 2009 [AS 2010 5683; nachfolgend: Zusatzabkommen 2009]) und auf Ziff. XI des im DBA CH-FR integrierten Zusatzprotokolls (SR 0.672.934.91)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4.2.1</w:t>
      </w:r>
    </w:p>
    <w:p>
      <w:r>
        <w:t>Gemäss Art. 11 Abs. 3 des Zusatzabkommens 2009 findet das Zusatzabkommen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4.2.2</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5.1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5.2</w:t>
      </w:r>
    </w:p>
    <w:p>
      <w:r>
        <w:t>Das Bundesgericht hat in BGE 146 II 150 das Amtshilfeersuchen Frankreichs vom 11. Mai 2016 für zulässig erklärt, womit es implizit auch die Voraussetzungen von Ziff. XI Abs. 3 des Zusatzprotokolls als erfüllt erachtete. Dies wird vom Beschwerdeführer nicht bestritten.</w:t>
      </w:r>
    </w:p>
    <w:p>
      <w:r>
        <w:rPr>
          <w:b/>
        </w:rPr>
        <w:t>E. 6.1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6.2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6.3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w:t>
      </w:r>
    </w:p>
    <w:p>
      <w:r>
        <w:rPr>
          <w:b/>
        </w:rPr>
        <w:t>E. 7.1</w:t>
      </w:r>
    </w:p>
    <w:p>
      <w:r>
        <w:t>Der Beschwerdeführer macht geltend, die Vorinstanz habe den Ordre public verletzt. So seien die mutmasslichen Steuerforderungen der Steuerperiode 2010 verjährt, weshalb die Amtshilfe zu verweigern sei. Die Informationen betreffend die Steuerperioden 2010, 2014 und 2015 seien zudem nicht erheblich. Der Kontostand per 1. Januar 2014 und 1. Januar 2015 habe (...) betragen, die mutmassliche Steuerverpflichtung für das Jahr 2010 sei verjährt.</w:t>
      </w:r>
    </w:p>
    <w:p>
      <w:r>
        <w:rPr>
          <w:b/>
        </w:rPr>
        <w:t>E. 7.2</w:t>
      </w:r>
    </w:p>
    <w:p>
      <w:r>
        <w:t>Soweit der Beschwerdeführer vorbringt, eine allfällige Besteuerung in Frankreich sei aufgrund der Verjährung ausgeschlossen, ist darauf hinzuweisen, dass es nach bundesgerichtlicher Rechtsprechung nicht Aufgabe des ersuchten Staates ist, die Begründetheit des im Ausland durchgeführten Steuerverfahrens zu prüfen oder mögliche verfahrensrechtliche Hindernisse zu berücksichtigen, die nach dem innerstaatlichen Recht des ersuchenden Staates der Verwendung der erhaltenen Informationen entgegenstehen würden (BGE 144 II 206 E. 4.3). Die Verjährungsfrage ist im Amtshilfeverfahren nicht zu prüfen, selbst wenn die ausländische Behörde von sich aus auf den allenfalls künftigen Eintritt der Verjährung hinweist. Die Übermittlung von ersuchten Informationen ist in Anwendung des einschlägigen DBA sowie gestützt auf das völkerrechtliche Vertrauensprinzip zulässig, solange im Zeitpunkt der Einreichung des Amtshilfeersuchens nicht offenkundig erscheint, dass für einen ersuchten Zeitraum die ausländische Verjährung bereits eingetreten ist (vgl. Urteil des BGer 2C_662/2021, 2C_663/2021 vom 18. März 2022 E. 5.4.2, 5.6). Folglich sind die Schweizer Behörden im Rahmen der Beurteilung der voraussichtlichen Erheblichkeit der zu übermittelnden Informationen nicht gehalten zu prüfen, ob eine Besteuerung nach französischem Recht zeitlich noch möglich ist. Damit ist auch unter diesem Gesichtspunkt von der voraussichtlichen Erheblichkeit der zur Übermittlung vorgesehenen Informationen betreffend den Beschwerdeführer auszugehen. Die eventualiter beantragte Einholung einer Erklärung der DGFP zur eingeschränkten Verwendung der zu übermittelnden Informationen infolge der Verfolgungsverjährung ist aufgrund des Ausgeführten abzuweisen. Das Gleiche gilt für den Subeventualantrag, es sei der Vorinstanz zu verbieten, Informationen betreffend Sachverhalte zu übermitteln, die sich vor dem 1. Januar 2011 abgespielt haben.</w:t>
      </w:r>
    </w:p>
    <w:p>
      <w:r>
        <w:rPr>
          <w:b/>
        </w:rPr>
        <w:t>E. 7.2.1</w:t>
      </w:r>
    </w:p>
    <w:p>
      <w:r>
        <w:t>Entgegen dem Dafürhalten des Beschwerdeführers sind die zu übermittelnden Informationen trotz der Nullsaldi auf dem betreffenden Konto sodann insofern voraussichtlich erheblich, als sie die Existenz des Kontos und dessen Zugehörigkeit zur betreffenden Person bestätigen. Entscheidend ist insofern, dass die Bankbeziehung im betreffenden Zeitraum bestanden hat. Dies gilt unabhängig von der Höhe der auf dem Konto vorhandenen Vermögenswerte (vgl. Urteil des BVGer A-3482/2018 vom 5. August 2019 E. 5.5).</w:t>
      </w:r>
    </w:p>
    <w:p>
      <w:r>
        <w:rPr>
          <w:b/>
        </w:rPr>
        <w:t>E. 7.3</w:t>
      </w:r>
    </w:p>
    <w:p>
      <w:r>
        <w:t>Aufgrund der vorstehenden Erwägungen ist die vom Beschwerdeführer geltend gemachte Ordre public Verletzung zu verneinen.</w:t>
      </w:r>
    </w:p>
    <w:p>
      <w:r>
        <w:rPr>
          <w:b/>
        </w:rPr>
        <w:t>E. 8</w:t>
      </w:r>
    </w:p>
    <w:p>
      <w:r>
        <w:t>Der Beschwerdeführer beantragt die Vernichtung der zu übermittelnden Informationen. Er begründet dieses Begehren nicht weiter. Sofern er sich dabei implizit auf datenschutzrechtliche Bestimmungen berufen sollte (vgl. zur Möglichkeit, im Rahmen der internationalen Amtshilfe auf diese Rückgriff zu nehmen Urteil des BGer 2C_726/2018 vom 14. Oktober 2019 E. 3.4 m.w.H.), ist festzuhalten, dass keine Hinweise dafür ersichtlich sind, dass die Vorinstanz ihrer Vergewisserungspflicht in Bezug auf die Richtigkeit der Daten gemäss Art. 5 Abs. 1 DSG (SR 235.1) nicht hinreichend nachgekommen ist (vgl. dazu BAERISWYL/BLONSKI, in: Stämpflis Handkommentar zum DSG, 2015 [nachfolgend: SHK DSG], Art. 5 N. 13 ff.; MONIQUE STURNY, in: SHK DSG, Art. 25 N. 23). Damit bestehen in den Augen des Bundesverwaltungsgerichts keine vernünftigen Zweifel an der Richtigkeit der Daten. Das Vernichtungsbegehren des Beschwerdeführers (vgl. Art. 25 Abs. 3 Bst. a DSG) ist abzuweisen.</w:t>
      </w:r>
    </w:p>
    <w:p>
      <w:r>
        <w:rPr>
          <w:b/>
        </w:rPr>
        <w:t>E. 9</w:t>
      </w:r>
    </w:p>
    <w:p>
      <w:r>
        <w:t>Nach dem Ausgeführten sind die Voraussetzungen für die in der Schlussverfügung vom 7. Januar 2021 vorgesehene Amtshilfeleistung erfüllt. Die Beschwerde ist abzuweisen.</w:t>
      </w:r>
    </w:p>
    <w:p>
      <w:r>
        <w:rPr>
          <w:b/>
        </w:rPr>
        <w:t>E. 10.1</w:t>
      </w:r>
    </w:p>
    <w:p>
      <w:r>
        <w:t>Bei diesem Ausgang des Verfahrens hat der Beschwerdeführer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10.2</w:t>
      </w:r>
    </w:p>
    <w:p>
      <w:r>
        <w:t>Dem unterliegenden Beschwerdeführer ist keine Parteientschädigung zuzusprechen (Art. 64 Abs. 1 VwVG e contrario und Art. 7 Abs. 1 VGKE e contrario).</w:t>
      </w:r>
    </w:p>
    <w:p>
      <w:r>
        <w:rPr>
          <w:b/>
        </w:rPr>
        <w:t>E. 11</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83 Bst. h, Art. 84a und Art. 100 Abs. 2 Bst. b BGG). Ob dies der Fall ist, entscheidet das Bundesgericht.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