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F-6067/2022 vom 22. Dezember 2023</w:t>
      </w:r>
    </w:p>
    <w:p>
      <w:r>
        <w:t>Bundesverwaltungsgericht, 2023-12-22, DE</w:t>
      </w:r>
    </w:p>
    <w:p>
      <w:r>
        <w:rPr>
          <w:b/>
        </w:rPr>
        <w:t xml:space="preserve">Quelle: </w:t>
      </w:r>
      <w:r>
        <w:t>https://mcp.opencaselaw.ch/entscheid/bvger_F-6067_2022</w:t>
      </w:r>
    </w:p>
    <w:p>
      <w:r>
        <w:t>FR: TAF F-6067/2022 du 22 décembre 2023</w:t>
      </w:r>
    </w:p>
    <w:p>
      <w:r>
        <w:t>IT: TAF F-6067/2022 del 22 dicembre 2023</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Abs.1 des Ausländer- und Integrationsgesetzes [AIG, SR 142.20] i.V.m. Art. 31 ff. VGG). Das Rechtsmittelverfahren richtet sich nach dem VwVG, soweit das VGG nichts anderes bestimmt (Art. 37 VGG).</w:t>
      </w:r>
    </w:p>
    <w:p>
      <w:r>
        <w:rPr>
          <w:b/>
        </w:rPr>
        <w:t>E. 1.2</w:t>
      </w:r>
    </w:p>
    <w:p>
      <w:r>
        <w:t>Die Beschwerdeführenden haben am vorangegangenen Einsprache- verfahren teilgenommen und sind als Verfügungsadressaten durch den an- gefochtenen Entscheid besonders berührt. Sie sind zur Erhebung der Be- schwerde legitimiert (Art. 48 Abs. 1 VwVG). Obwohl der anberaumte Be- suchszeitraum verstrichen ist, kann – nicht zuletzt angesichts der Einrei- chung des Rechtsmittels – auf ein fortbestehendes Rechtsschutzinteresse geschlossen werden. Auf die frist- und formgerechte Beschwerde ist ein- 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w:t>
      </w:r>
    </w:p>
    <w:p>
      <w:r>
        <w:t>F-6067/2022 Seite 4 Ermessens, die unrichtige oder unvollständige Feststellung des rechtser- heblichen Sachverhalts und, im Falle von Bundesbehörden, die Unange- messenheit gerügt werden (vgl. Art. 49 VwVG). Das Bundesverwaltungs- gericht wendet im Beschwerdeverfahren das Bundesrecht von Amtes we- gen an und ist nicht an die Begründung der Begehren gebunden (vgl. Art. 62 Abs. 4 VwVG). Massgeblich ist grundsätzlich die Sachlage im Ent- scheidzeitpunkt (vgl. BVGE 2020 VII/4 E. 2.2 m.H.).</w:t>
      </w:r>
    </w:p>
    <w:p>
      <w:r>
        <w:rPr>
          <w:b/>
        </w:rPr>
        <w:t>E. 3.1</w:t>
      </w:r>
    </w:p>
    <w:p>
      <w:r>
        <w:t>Die Beschwerdeführenden rügen zunächst eine Verletzung der Be- gründungspflicht, da sich die Vorinstanz nicht mit ihren individuellen Vor- bringen auseinandergesetzt und stattdessen auf Standardformulierungen zurückgegriffen habe.</w:t>
      </w:r>
    </w:p>
    <w:p>
      <w:r>
        <w:rPr>
          <w:b/>
        </w:rPr>
        <w:t>E. 3.2</w:t>
      </w:r>
    </w:p>
    <w:p>
      <w:r>
        <w:t>Aus dem Anspruch auf rechtliches Gehör (Art. 29 Abs. 2 BV; Art. 29 VwVG) fliesst unter anderem die grundsätzliche Pflicht der Behörden, die Vorbringen der Partei zu prüfen (Art. 32 Abs. 1 VwVG) und ihren Entscheid zu begründen (Art. 35 Abs. 1 VwVG). Die Begründung muss so abgefasst sein, dass die Betroffenen den Entscheid gegebenenfalls sachgerecht an- fechten können. Sie muss kurz die wesentlichen Überlegungen nennen, von denen sich die Behörde hat leiten lassen und auf die sich ihr Entscheid stützt. Nicht erforderlich ist hingegen, dass sich der Entscheid mit allen Parteistandpunkten einlässlich auseinandersetzt und jedes einzelne Vor- bringen ausdrücklich widerlegt (vgl. BGE 142 III 433 E. 4.3.2; 141 III 28 E. 3.2.4).</w:t>
      </w:r>
    </w:p>
    <w:p>
      <w:r>
        <w:rPr>
          <w:b/>
        </w:rPr>
        <w:t>E. 3.2.1</w:t>
      </w:r>
    </w:p>
    <w:p>
      <w:r>
        <w:t>Dieser verfahrensrechtlichen Anforderung hat die Vorinstanz Genüge getan. Sie hat sich, wenn auch eher knapp, mit den Ausführungen der Ge- suchstellerinnen zu ihren Gesuchen sowie ihrem allgemeinen, beruflichen und finanziellen Hintergrund anhand der eingereichten Beweismittel ausei- nandergesetzt. Die Vorinstanz hat hinreichend nachvollziehbar aufgezeigt, von welchen Überlegungen sie sich im Rahmen der jeweiligen Einzelfall- prüfung leiten liess (s. angefochtene Verfügung S. 2 f.), wobei sie sich auf die wesentlichen Gesichtspunkte beschränken durfte (s. E. 3.2 hiervor). Den Beschwerdeführenden war es möglich, den vorinstanzlichen Ent- scheid sachgerecht anzufechten. Damit liegt keine Verletzung der Begrün- dungspflicht vor.</w:t>
      </w:r>
    </w:p>
    <w:p>
      <w:r>
        <w:rPr>
          <w:b/>
        </w:rPr>
        <w:t>E. 3.3</w:t>
      </w:r>
    </w:p>
    <w:p>
      <w:r>
        <w:t>Sodann monieren die Beschwerdeführenden, die Vorinstanz habe den Sachverhalt unter mehreren Gesichtspunkten unvollständig festgestellt,</w:t>
      </w:r>
    </w:p>
    <w:p>
      <w:r>
        <w:t>F-6067/2022 Seite 5 indem sie von gewissen Gegebenheiten lediglich ausgegangen sei, obschon sie gehalten gewesen wäre, weitere Abklärungen zu treffen.</w:t>
      </w:r>
    </w:p>
    <w:p>
      <w:r>
        <w:rPr>
          <w:b/>
        </w:rPr>
        <w:t>E. 3.3.1</w:t>
      </w:r>
    </w:p>
    <w:p>
      <w:r>
        <w:t>Die unrichtige oder unvollständige Feststellung des rechtserhebli- chen Sachverhalts kann nach Art. 49 Bst. b VwVG gerügt werden. Unvoll- ständig ist die Sachverhaltsfeststellung, wenn die Behörde trotz der gelten- den Untersuchungsmaxime (Art. 12 ff. VwVG i.V.m. Art. 37 VGG) den Sachverhalt nicht von Amtes wegen rechtsgenüglich abgeklärt oder nicht alle für den Entscheid wesentlichen Sachumstände berücksichtigt hat (vgl. BVGE 2008/43 E. 7.5.6; BENJAMIN SCHINDLER, in: Kommentar zum VwVG, 2. Aufl. 2019, Art. 49 N. 29). Die Parteien sind zur Mitwirkung an der Fest- stellung des Sachverhalts verpflichtet in einem Verfahren, das sie durch ihr Begehren einleiten (Art. 13 Abs. 1 Bst. a VwVG).</w:t>
      </w:r>
    </w:p>
    <w:p>
      <w:r>
        <w:rPr>
          <w:b/>
        </w:rPr>
        <w:t>E. 3.3.2</w:t>
      </w:r>
    </w:p>
    <w:p>
      <w:r>
        <w:t>Wie die Beschwerdeführenden in ihrer Rechtsmitteleingabe bereits selbst einräumen, leitete die Vorinstanz ihre Schlussfolgerungen in der an- gefochtenen Verfügung nicht etwa aus reinen Mutmassungen, sondern aus den eingereichten Beweismitteln ab. Die Formulierung, wonach vor dem Hintergrund dieser Belege von gewissen Verpflichtungen und Abhän- gigkeiten «nicht auszugehen sei», lässt nicht auf eine unvollständige Fest- stellung des rechtserheblichen Sachverhalts schliessen. Die Beschwerde- führenden vermögen sodann weder darzutun noch ist ersichtlich, in wel- cher Hinsicht weitere Abklärungen zu den eingereichten Lohnbestätigun- gen oder Bankbelegen hätten vorgenommen werden müssen (s. dazu E. 6.3.1 ff. hiernach). Auch die Rüge der unvollständigen Sachverhaltsfest- stellung erweist sich damit als unbegründet (Art. 49 Bst. b VwVG; Art. 12 VwVG). Eine Rückweisung an die Vorinstanz ist nicht vorzunehmen.</w:t>
      </w:r>
    </w:p>
    <w:p>
      <w:r>
        <w:rPr>
          <w:b/>
        </w:rPr>
        <w:t>E. 4</w:t>
      </w:r>
    </w:p>
    <w:p>
      <w:r>
        <w:t>Dem angefochtenen Entscheid liegen die Gesuche von in Indien lebenden Angehörigen der tibetischen Ethnie um Erteilung von Visa zu Besuchszwe- cken in der Schweiz zugrunde. Da sich die Gesuchstellerinnen nicht auf die EU/EFTA-Personenfreizügigkeitsabkommen berufen können und die beabsichtigte Aufenthaltsdauer 90 Tage nicht überschreitet, fällt die vorlie- gende Streitsache in den Anwendungsbereich der Schengen-Assoziie- rungsabkommen, mit denen die Schweiz den Schengen-Besitzstand und die dazugehörigen gemeinschaftsrechtlichen Rechtsakte übernahm (BVGE 2014/1 E. 3; 2011/48 E. 3). Das AIG und dessen Ausführungsbe- stimmungen gelangen nur soweit zur Anwendung, als die Schengen-Asso- ziierungsabkommen keine abweichenden Bestimmungen enthalten (Art. 2 Abs. 4 AIG).</w:t>
      </w:r>
    </w:p>
    <w:p>
      <w:r>
        <w:t>F-6067/2022 Seite 6</w:t>
      </w:r>
    </w:p>
    <w:p>
      <w:r>
        <w:rPr>
          <w:b/>
        </w:rPr>
        <w:t>E. 5.1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 vermittelt aber auch das Schengen-Recht nicht (vgl. BVGE 2014/1 E. 4.1.5).</w:t>
      </w:r>
    </w:p>
    <w:p>
      <w:r>
        <w:rPr>
          <w:b/>
        </w:rPr>
        <w:t>E. 5.2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Des Wei- teren müssen Drittstaatsangehörige den Zweck und die Umstände ihres beabsichtigten Aufenthalts belegen und hierfür über ausreichende finanzi- elle Mittel verfügen. Sie dürfen nicht im Schengener Informationssystem (SIS II) zur Einreiseverweigerung ausgeschrieben sein und keine Gefahr für die öffentliche Ordnung, die innere Sicherheit, die öffentliche Gesund- heit oder die internationalen Beziehungen eines Mitgliedstaats darstellen (siehe zum Ganzen: Art. 5 Abs. 1 AIG; Art. 3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 gener Grenzkodex, SGK, ABl. L 77/1 vom 23. Juni 2016]; Art. 14 Abs. 1 und Art. 21 Abs. 1 der Verordnung [EG] Nr. 810/2009 des Europäischen Parlaments und des Rates vom 13. Juli 2009 über einen Visakodex der Gemeinschaft [Visakodex, VK, ABl. L 243 vom 15. September 2009]).</w:t>
      </w:r>
    </w:p>
    <w:p>
      <w:r>
        <w:t>F-6067/2022 Seite 7</w:t>
      </w:r>
    </w:p>
    <w:p>
      <w:r>
        <w:rPr>
          <w:b/>
        </w:rPr>
        <w:t>E. 5.3</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Behörden haben daher zu prüfen und die gesuchstellende Person hat dem- entsprechend zu belegen, dass die Gefahr einer rechtswidrigen Einwande- rung oder einer nicht fristgerechten Ausreise nicht besteht respektive Ge- währ für die gesicherte Wiederausreise geboten wird (vgl. Art. 14 Abs. 1 Bst. d VK; Art. 21 Abs. 1 VK; BVGE 2014/1 E. 4.4). Das Visum ist zu ver- weigern, wenn begründete Zweifel an der Echtheit der von der gesuchstel- lenden Person eingereichten Belege oder am Wahrheitsgehalt ihres In- halts, an der Glaubwürdigkeit ihrer Aussagen oder der von ihr bekundeten Absicht bestehen, das Hoheitsgebiet der Mitgliedstaaten vor Ablauf der Gültigkeit des beantragten Visums zu verlassen (Art. 32 Abs. 1 Bst. b VK).</w:t>
      </w:r>
    </w:p>
    <w:p>
      <w:r>
        <w:rPr>
          <w:b/>
        </w:rPr>
        <w:t>E. 6</w:t>
      </w:r>
    </w:p>
    <w:p>
      <w:r>
        <w:t>Strittig ist, inwieweit die Gesuchstellerinnen Gewähr für eine fristgerechte Wiederausreise aus dem Schengen-Raum bieten. Ausser Frage steht da- bei die gegebene Visumspflicht.</w:t>
      </w:r>
    </w:p>
    <w:p>
      <w:r>
        <w:rPr>
          <w:b/>
        </w:rPr>
        <w:t>E. 6.1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6.2</w:t>
      </w:r>
    </w:p>
    <w:p>
      <w:r>
        <w:t>Die Gesuchstellerinnen leben (…) in der Stadt E._______ im (…) Bun- desstaat F._______ (s. eingehend zu den Lebensumständen von in Indien lebenden tibetischen Flüchtlingen Urteil des BVGer F-3680/2022 vom 13. September 2023 E. 6.2 m.H.). Im Allgemeinen ist das Leben in Indien nach wie vor geprägt von krasser Armut und extremer Chancenungleich- heit. Auf dem aktuellen Index der menschlichen Entwicklung der Vereinten Nationen belegt Indien denn auch lediglich Platz 132 von 191 gelisteten Staaten (vgl. dazu ausführlich Urteile des BVGer F-4547/2022 vom 26. Juni 2023 E. 6; F-5322/2022 vom 9. Juni 2023 E. 6.2; je m.w.H.). Vor</w:t>
      </w:r>
    </w:p>
    <w:p>
      <w:r>
        <w:t>F-6067/2022 Seite 8 diesem Hintergrund ist nicht zu beanstanden, wenn die Vorinstanz das Ri- siko einer nicht fristgerechten Wiederausreise als allgemein hoch ein- schätzt.</w:t>
      </w:r>
    </w:p>
    <w:p>
      <w:r>
        <w:rPr>
          <w:b/>
        </w:rPr>
        <w:t>E. 6.3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2014/1 E. 6.3.1; 2009/27 E. 8).</w:t>
      </w:r>
    </w:p>
    <w:p>
      <w:r>
        <w:rPr>
          <w:b/>
        </w:rPr>
        <w:t>E. 6.3.1</w:t>
      </w:r>
    </w:p>
    <w:p>
      <w:r>
        <w:t>Bei den Gesuchstellerinnen handelt es sich um eine 67-jährige, ver- witwete Frau sowie deren 33-jährige, ledige und kinderlose Tochter. Ge- mäss den vorinstanzlichen Akten verfügten beide mindestens im Zeitpunkt der Gesucheinreichung über gültige indische Aufenthaltstitel (gültig bis zum 1. Januar bzw. 30. April 2023), wobei angesichts des langjährigen Auf- enthalts der Gesuchstellerinnen in Indien anzunehmen sein dürfte, dass diese zwischenzeitlich verlängert wurden. Beide Gesuchstellerinnen verfü- gen über ein für die legale Ausreise aus Indien benötigtes «Identity Certificate» (Reisedokument) sowie ein «Return Visa» zur Wie- dereinreise nach Indien (s. dazu auch F-3680/2022 E. 7.1. m.w.H.).</w:t>
      </w:r>
    </w:p>
    <w:p>
      <w:r>
        <w:rPr>
          <w:b/>
        </w:rPr>
        <w:t>E. 6.3.2</w:t>
      </w:r>
    </w:p>
    <w:p>
      <w:r>
        <w:t>Die Gesuchstellerin 1 vermerkte auf ihrem Visumsantrag vom 19. August 2022 als derzeitige berufliche Tätigkeit «Home Maker». Ohne weitere Ausführungen reichte sie zudem Unterlagen zu den Akten, welche sie seit dem 16. November 2021 als Inhaberin eines Geschäftsstands im «(…) Market» in G._______ ausweisen. Den Angaben der Beschwerde- führenden im Rahmen der kantonalen Abklärungen zufolge ist die Gesuch- stellerin 1 pensioniert. In der Rechtsmitteleingabe wird schliesslich vorge- bracht, sie verfüge über zwei Einkommensquellen: Einerseits erwirtschafte sie mit ihrem Geschäft ein regelmässiges Einkommen, andererseits ver- füge sie über ein Vermögen, welches jährlich Zinsen in Höhe von 27'532 Indischen Rupien (ca. Fr. 300.–) abwerfe.</w:t>
      </w:r>
    </w:p>
    <w:p>
      <w:r>
        <w:rPr>
          <w:b/>
        </w:rPr>
        <w:t>E. 6.3.3</w:t>
      </w:r>
    </w:p>
    <w:p>
      <w:r>
        <w:t>Aktengemäss verfügt die Gesuchstellerin 1 über ein Konto bei der «Y._______ Bank» mit einem Gesamtvermögen von 496'115. 54 Indischen Rupien per 3. Dezember 2022 (ca. Fr. 5'717.– per 3. Dezember 2022). Aus dem eingereichten Kontoauszug geht allerdings</w:t>
      </w:r>
    </w:p>
    <w:p>
      <w:r>
        <w:t>F-6067/2022 Seite 9 hervor, dass sich noch am 1. Mai 2022 lediglich 920.11 Indische Rupien (ca. Fr. 11. –) auf dem Konto befanden. Nach einer Scheckeinlösung am 20. Juni 2022 erhöhte sich der Saldo schlagartig auf 357'234.11 Indische Rupien. Im Zeitraum zwischen Juni 2022 und Dezember 2022 erhöhte sich ihr Gesamtguthaben um weitere knapp 150'000 Indische Rupien, wobei weder belegt noch auf andere Art und Weise nachvollziehbar ist, woher die entsprechenden Bareinzahlungen stammen. Gemäss der Beschwerdebe- gründung soll es sich dabei um Umsätze aus dem Geschäft der Gesuch- stellerin 1 handeln. Ob die Bareinzahlungen tatsächlich aus selbst erwirt- schaftetem Geld herrühren, kann mangels weiterführender Angaben aller- dings nicht überprüft werden. Dass eine solch erhebliche Vermögensbil- dung innert weniger Monate auf Einnahmen aus dem Stand der Gesuch- stellerin 1 zurückzuführen sein soll, darf mit der Vorinstanz zu Recht be- zweifelt werden. Überdies reichte die Gesuchstellerin 1 mit ihrem Visums- antrag selbst eine Quittung der «H._______ AG» in I._______ zu den Ak- ten, wonach der Beschwerdeführer 2 am 20. Juni 2022 zu ihren Gunsten eine Transaktion über 169'700.00 Indische Rupien ausgelöst hatte. Unter diesen Umständen – und mit Blick auf das für Schweizer Verhältnisse oh- nehin relativ tiefe Vermögen, welches zudem bei einer Auswanderung nicht zwingend verloren geht (vgl. BVGE 2014/1 E. 6.3.6 m.H.) – kann nicht da- rauf geschlossen werden, die Gesuchstellerin 1 lebe in wirtschaftlich gesi- cherten Verhältnissen. Die gemachten Angaben lassen ferner nicht darauf schliessen, dass ihr in Indien besondere gesellschaftliche oder familiäre Verpflichtungen obliegen würden, die hinreichende Gewähr für eine an- standslose Wiederausreise aus der Schweiz zu bieten vermöchten.</w:t>
      </w:r>
    </w:p>
    <w:p>
      <w:r>
        <w:rPr>
          <w:b/>
        </w:rPr>
        <w:t>E. 6.3.4</w:t>
      </w:r>
    </w:p>
    <w:p>
      <w:r>
        <w:t>Die Gesuchstellerin 2 ihrerseits arbeitet seit dem Jahr 2017 in einem Vollzeitpensum als «Program Officer» beim (…) in E._______ (bestätigt durch ein Schreiben des Arbeitgebers vom 12. August 2022). Gemäss bei- gelegten Lohnabrechnungen von Mai bis Juli 2022 verdient sie ein monat- liches Gehalt von 35’805 Indischen Rupien (ca. Fr. 400.–). Ferner verfügt sie über ein Konto bei der Y._______ Bank mit einem Gesamtvermögen von 753’579.95 Indischen Rupien per 12. August 2022 (ca. Fr. 8'924.– per 12. August 2022). Auch der von ihr eingereichte Kontoauszug für die Peri- ode vom 1. Mai 2022 bis am 12. August 2022 weist – nebst den Lohnüber- weisungen im Juni und Juli 2022 – regelmässig hohe Gutschriften auf, de- ren Herkunft unklar bleibt. Auffallend ist dabei, dass die monatliche Ge- haltszahlung im August 2022 offenbar nicht wie bis anhin fortgesetzt wurde. Somit können auch der Gesuchstellerin 2 keine beruflichen Verpflichtun- gen oder Abhängigkeiten attestiert werden, die hinreichende Gewähr für eine fristgerechte Wiederausreise bieten könnten. Daran vermag das</w:t>
      </w:r>
    </w:p>
    <w:p>
      <w:r>
        <w:t>F-6067/2022 Seite 10 beigelegte Schreiben ihres Arbeitgebers vom 12. August 2022, wonach sie nach ihrer Rückkehr aus der Schweiz wieder an ihrem Arbeitsplatz erwartet werde, nichts zu ändern. Dass ihr in Indien ferner besondere gesellschaft- liche oder familiäre Verantwortung obliegen würde, wurde nicht geltend ge- macht.</w:t>
      </w:r>
    </w:p>
    <w:p>
      <w:r>
        <w:rPr>
          <w:b/>
        </w:rPr>
        <w:t>E. 6.4</w:t>
      </w:r>
    </w:p>
    <w:p>
      <w:r>
        <w:t>Damit ist das Risiko, dass die Gesuchstellerinnen – einmal in die Schweiz eingereist – vom zuvor deklarierten Aufenthaltszweck abweichen und versuchen könnten, diesen auf eine neue Basis zu stellen, als hoch einzuschätzen. Die Zusicherung einer fristgerechten Ausreise durch die Beschwerdeführenden ändert daran nichts, denn Gastgeber und Garanten können mit rechtlich verbindlicher Wirkung zwar für gewisse, beschränkte finanzielle Risiken im Zusammenhang mit dem Besuchsaufenthalt, nicht aber für ein bestimmtes Tun oder Unterlassen ihrer Gäste einstehen (s. in diesem Zusammenhang auch BVGE 2009/27 E. 9).</w:t>
      </w:r>
    </w:p>
    <w:p>
      <w:r>
        <w:rPr>
          <w:b/>
        </w:rPr>
        <w:t>E. 6.5</w:t>
      </w:r>
    </w:p>
    <w:p>
      <w:r>
        <w:t>Im Ergebnis ging die Vorinstanz daher zu Recht davon aus, die Wie- derausreise der Gesuchstellerinnen sei nicht ausreichend gesichert. Die Voraussetzungen für die Erteilung von Besuchervisa im Sinne von Art. 6 SGK beziehungsweise Art. 5 AIG sind nicht erfüllt. Gründe für die Ausstellung von Visa mit räumlich beschränkter Gültigkeit (vgl. Art. 5 Abs. 3 AIG; 3 Abs. 4 VEV, Art. 25 Abs. 1 Bst. a VK sowie Art. 6 Abs. 5 Bst. c SGK) wurden weder geltend gemacht noch ergeben sich solche aus den Akten. Somit ist nicht zu beanstanden, dass die Vorinstanz die Aus- stellung der Visa verweigert hat.</w:t>
      </w:r>
    </w:p>
    <w:p>
      <w:r>
        <w:rPr>
          <w:b/>
        </w:rPr>
        <w:t>E. 7</w:t>
      </w:r>
    </w:p>
    <w:p>
      <w:r>
        <w:t>Die angefochtene Verfügung ist nicht zu beanstanden (Art. 49 VwVG). Die Beschwerde ist abzuweisen.</w:t>
      </w:r>
    </w:p>
    <w:p>
      <w:r>
        <w:rPr>
          <w:b/>
        </w:rPr>
        <w:t>E. 8</w:t>
      </w:r>
    </w:p>
    <w:p>
      <w:r>
        <w:t>Entsprechend dem Verfahrensausgang sind die Kosten den unterliegen- den Beschwerdeführenden aufzuerlegen (vgl. Art. 63 Abs. 1 VwVG i.V.m. Art. 1 ff. des Reglements vom 21. Februar 2008 über die Kosten und Ent- schädigungen vor dem Bundesverwaltungsgericht [VGKE, SR 173.320.2]). (Dispositiv nächste Seite)</w:t>
      </w:r>
    </w:p>
    <w:p>
      <w:r>
        <w:t>F-6067/2022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