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F-6064/2024 vom 3. Oktober 2024</w:t>
      </w:r>
    </w:p>
    <w:p>
      <w:r>
        <w:t>Bundesverwaltungsgericht, 2024-10-03, FR</w:t>
      </w:r>
    </w:p>
    <w:p>
      <w:r>
        <w:rPr>
          <w:b/>
        </w:rPr>
        <w:t xml:space="preserve">Quelle: </w:t>
      </w:r>
      <w:r>
        <w:t>https://mcp.opencaselaw.ch/entscheid/bvger_F-6064_2024</w:t>
      </w:r>
    </w:p>
    <w:p>
      <w:r>
        <w:t>FR: TAF F-6064/2024 du 3 octobre 2024</w:t>
      </w:r>
    </w:p>
    <w:p>
      <w:r>
        <w:t>IT: TAF F-6064/2024 del 3 ottobre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L'intéressé a qualité pour recourir (art. 48 al. 1 PA). Interjeté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du règlement Dublin III). En l'espèce, contrairement à ce que soutient le SEM dans sa communication aux autorités espagnoles du 16 août 2024 ainsi que dans la décision entreprise, la modalité de l'obligation éventuelle de l'Espagne relève, comme le recourant le soutient à juste titre, de l'art. 18 par. 1 let. a du règlement Dublin III, soit d'une prise en charge (anglais : take charge), et non de l'art. 18 par. 1 let. b du règlement Dublin III, à savoir d'une reprise en charge (anglais : take back). En effet, le champ d'application de l'art. 18 par. 1 let. b à d du règlement Dublin III n'est ouvert que lorsque l'Etat membre dans lequel la première demande a été déposée clôt la procédure de détermination en admettant sa responsabilité et commence l'examen matériel de la demande (cf. arrêt de Grande chambre de la Cour de justice de l'Union européenne [CJUE], affaires jointes C-582/17 et C-583/17 du 2 avril 2019, points 47 ss ; arrêt du TAF F-2431/2022 du 14 juin 2022 consid. 5.2), ce qui n'est manifestement pas le cas en l'espèce. Dans ce contexte, le Tribunal relève en particulier qu'à ce jour, aucun des Etats membres auquel le SEM a adressé une requête de « reprise en charge » n'a commencé, au sens de l'art. 2 let. d du règlement Dublin III, l'examen d'une demande de protection internationale concernant le recourant. Dans une procédure de prise en charge (anglais : take charge), comme en l'espèce, les critères énumérés au chapitre III du règlement (art. 8 à 15 du règlement Dublin III) doivent être appliqués successivement (principe de l'application hiérarchique des critères de compétence ; art. 7 par. 1 du règlement Dublin III). Pour ce faire, il y a lieu de se baser sur la situation existant au moment du dépôt de la première demande dans un Etat membre (principe de pétrification ; art. 7 par. 2 du règlement Dublin III ; cf. ATAF 2012/4 consid. 3.2).</w:t>
      </w:r>
    </w:p>
    <w:p>
      <w:r>
        <w:rPr>
          <w:b/>
        </w:rPr>
        <w:t>E. 3.3</w:t>
      </w:r>
    </w:p>
    <w:p>
      <w:r>
        <w:t>En application de l'art. 13 par. 1 du règlement Dublin III, lorsqu'il est établi, sur la base de preuves ou d'indices tels qu'ils figurent dans les deux listes mentionnées à l'art. 22 par. 3 dudit règlement, notamment des données visées au règlement (UE) n° 603/2013 du Parlement européen et du Conseil du 26 juin 2013 relatif à la création d'Eurodac (ci-après :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w:t>
      </w:r>
    </w:p>
    <w:p>
      <w:r>
        <w:rPr>
          <w:b/>
        </w:rPr>
        <w:t>E. 3.4</w:t>
      </w:r>
    </w:p>
    <w:p>
      <w:r>
        <w:t>En l'occurrence, les investigations entreprises par le SEM ont révélé, après consultation de l'unité centrale du système européen « Eurodac », que le recourant avait été interpellé en Espagne, le 24 août 2023, et avait déposé une demande d'asile aux Pays-Bas en date du 18 mai 2024. La requête de reprise en charge que le SEM a adressée aux autorités néerlandaises le 8 août 2024 a reçu une réponse négative, le 15 août 2024, fondée sur la responsabilité de l'Espagne pour le traitement de la demande d'asile en vertu de l'art. 13 par. 1 du règlement Dublin III, appliqué en raison du franchissement irrégulier de la frontière espagnole en provenance d'un Etat tiers. Au vu de ce refus fondé et compte tenu de l'interpellation du recourant en Espagne le 24 août 2023, le SEM a formulé, le 16 août 2024, une ultérieure demande de reprise en charge au sens de l'art. 18 par. 1 let. b du règlement Dublin III destinée aux autorités espagnoles. Or, comme relevé ci-dessus (cf. supra consid. 3.2) et ainsi que le Tribunal l'a relevé à plusieurs reprises dans des situations semblables (cf. p.ex. arrêts du TAF F-5754/2024 du 23 septembre 2024 consid. 3.2 et F-4891/2020 du 27 avril 2021 consid. 5), le champ d'application de l'art. 18 par. 1 let. b à d du règlement Dublin III n'est pas ouvert en l'espèce, de sorte qu'il ne saurait être question d'une reprise en charge. Dans les circonstances d'espèce, c'est bien plutôt une demande de prise en charge (art. 18 par. 1 let. a du règlement Dublin III), fondée sur l'art. 13 par. 1 du règlement Dublin III que le SEM aurait dû adresser à l'Espagne.</w:t>
      </w:r>
    </w:p>
    <w:p>
      <w:r>
        <w:rPr>
          <w:b/>
        </w:rPr>
        <w:t>E. 3.5</w:t>
      </w:r>
    </w:p>
    <w:p>
      <w:r>
        <w:t>La distinction entre la procédure de prise en charge et de reprise en charge ne saurait être sous-estimée, dans la présente procédure, dès lors qu'elle emporte des conséquences juridiques importantes. En effet, en cas d'absence de réponse de l'Etat requis, la présomption de l'acceptation tacite de la demande intervient à l'échéance de délais différents (cf. arrêts du TAF F-4437/2023 du 16 octobre 2023 consid. 4.3 ; F-4891/2020 du 27 avril 2021 consid. 5.4). En l'espèce, l'Espagne n'ayant pas répondu dans le délai d'un mois prévu à cet effet par l'art. 25 par. 2 du règlement Dublin III pour les cas de reprise en charge, le SEM a retenu, par communication du 17 septembre 2024, que ce pays avait acquis l'obligation de reprise en charge en vertu de la fiction prévue par cette même disposition. Le Tribunal constate toutefois que les délais de l'art. 25 du règlement Dublin III ne s'appliquent pas aux cas de prise en charge. Ces derniers sont en effet régis par les délais prévus aux art. 21 et 22 du règlement Dublin III, et en particulier par l'art. 22 par. 7 du règlement Dublin III s'agissant des réponses aux requêtes. Cette dernière disposition prévoit que l'absence de réponse à l'expiration du délai ordinaire de deux mois (cf. art. 22 par. 1 du règlement Dublin III) ou du délai extraordinaire d'un mois au plus dans les situations d'urgence invoqué (cf. art. 22 par. 6 du règlement Dublin III) équivaut à l'acceptation de la requête et entraîne l'obligation de prendre en charge la personne concernée, y compris l'obligation d'assurer une bonne organisation de son arrivée. En l'occurrence, le SEM n'ayant pas invoqué l'urgence dans le cadre de sa requête adressée à l'Espagne, la fiction de l'art. 22 par. 7 du règlement Dublin III est soumise au délai ordinaire de deux mois. Il apparaît donc que la communication du SEM du 17 septembre 2024 était prématurée, le délai de réponse n'échéant que le 17 octobre 2024 (cf. art. 42 par. 1 et 2 du règlement Dublin III). En rendant sa décision le 18 septembre 2024, donc bien avant le 17 octobre 2024, le SEM ne pouvait conclure à une acceptation tacite de la responsabilité par l'Espagne et ne pouvait se fonder sur l'art. 31a al. 1 let. b LAsi pour refuser d'entrer en matière sur la demande d'asile du recourant. En outre, il apparaît que l'Espagne n'a pas non plus accepté explicitement sa responsabilité dans l'intervalle.</w:t>
      </w:r>
    </w:p>
    <w:p>
      <w:r>
        <w:rPr>
          <w:b/>
        </w:rPr>
        <w:t>E. 4</w:t>
      </w:r>
    </w:p>
    <w:p>
      <w:r>
        <w:t>Compte tenu de ce qui précède, il convient d'admettre le recours, d'annuler la décision attaquée, de renvoyer l'affaire à l'autorité intimée et de l'inviter à reprendre la procédure afin de déterminer, en conformité des dispositions du règlement Dublin III, l'Etat compétent pour l'examen de la procédure d'asile de l'intéressé. Dans ces conditions, le Tribunal peut renoncer à l'examen des autres circonstances du cas d'espèce, notamment celles liées à l'état de santé de l'intéressé. Le recours s'avérant manifestement fondé, il est admis dans une procédure à juge unique, avec l'approbation d'un second juge (art. 111 let. e LAsi). Il est dès lors renoncé à un échange d'écritures, le présent arrêt n'étant motivé que sommairement (art. 111a al. 1 et 2 LAsi) Dans la mesure où il a été immédiatement statué sur le fond, les requêtes d'octroi de l'effet suspensif et d'exemption du paiement d'une avance de frais sont sans objet. Le litige prenant fin, les mesures superprovisionnelles prononcées 26 septembre 2024 sont caduques.</w:t>
      </w:r>
    </w:p>
    <w:p>
      <w:r>
        <w:rPr>
          <w:b/>
        </w:rPr>
        <w:t>E. 5</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est par conséquent sans objet. Obtenant gain de cause, l'intéressé aurait droit à des dépens. Il n'y a toutefois pas lieu d'en allouer, le recourant, étant représenté par le représentant juridique qui lui a été attribué par le prestataire mandaté par le SEM, conformément à l'art. 102f al. 1 LAsi en lien avec l'art. 102h al. 3 LAsi (art. 64 al. 1 PA a contrario et art. 111ater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