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F-6053/2023 vom 28. September 2023</w:t>
      </w:r>
    </w:p>
    <w:p>
      <w:r>
        <w:t>Bundesverwaltungsgericht, 2023-09-28, DE</w:t>
      </w:r>
    </w:p>
    <w:p>
      <w:r>
        <w:rPr>
          <w:b/>
        </w:rPr>
        <w:t xml:space="preserve">Quelle: </w:t>
      </w:r>
      <w:r>
        <w:t>https://mcp.opencaselaw.ch/entscheid/bvger_F-6053_2023_d20230928</w:t>
      </w:r>
    </w:p>
    <w:p>
      <w:r>
        <w:t>FR: TAF F-6053/2023 du 28 septembre 2023</w:t>
      </w:r>
    </w:p>
    <w:p>
      <w:r>
        <w:t>IT: TAF F-6053/2023 del 28 settembre 2023</w:t>
      </w:r>
    </w:p>
    <w:p>
      <w:pPr>
        <w:pStyle w:val="Heading2"/>
      </w:pPr>
      <w:r>
        <w:t>Regeste</w:t>
      </w:r>
    </w:p>
    <w:p>
      <w:r>
        <w:t>Schengen-Visum | Schengen-Visum; Verfügung des SEM vom 28. September 2023</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 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Der Beschwerdeführer rügt eine unrichtige beziehungsweise unvoll- ständige Feststellung des rechtserheblichen Sachverhalts. Die Vorinstanz habe die persönliche Situation der Gesuchstellerin nicht umfassend über- prüft und deren bestehenden Verpflichtungen gegenüber ihrer Familie nicht genügend Rechnung getragen. Des Weiteren habe die Vorinstanz eine</w:t>
      </w:r>
    </w:p>
    <w:p>
      <w:r>
        <w:t>F-6053/2023 Seite 4 Gehörsverletzung begangen, indem sie es unterlassen habe, die angeblich negativen Umstände im Zusammenhang mit den Inlandabklärungen im Detail darzulegen. Diese formellen Rügen sind vorab zu beurteilen, da sie allenfalls geeignet sein könnten, eine Kassation der vorinstanzlichen Ver- fügung zu bewirken (BGE 142 II 218 E. 2.8.1).</w:t>
      </w:r>
    </w:p>
    <w:p>
      <w:r>
        <w:rPr>
          <w:b/>
        </w:rPr>
        <w:t>E. 2.2</w:t>
      </w:r>
    </w:p>
    <w:p>
      <w:r>
        <w:t>Im Verwaltungsverfahren gilt der Untersuchungsgrundsatz (Art. 12 ff. VwVG). Die Behörden sorgen – unter Vorbehalt der Mitwirkungspflichten (Art. 13 Abs. 1 VwVG) der Parteien – für die richtige und vollständige Ab- klärung des rechtserheblichen Sachverhalts (BGE 140 I 285 E. 6.3.1 m.w.H.).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2.3</w:t>
      </w:r>
    </w:p>
    <w:p>
      <w:r>
        <w:t>Die Gesuchstellerin beziehungsweise der Beschwerdeführer hatten so- wohl im Visumsantrag als auch im Einspracheverfahren gewisse familiäre Verpflichtungen im Heimatland geltend gemacht. Sie führten aus, die Ge- suchstellerin kümmere sich um die Eltern (SEM–Act. 9, pag. 85). Daraus lässt sich jedoch nicht ableiten, um welche familiären Verpflichtungen es sich genau handelt. Ungeklärt ist insbesondere, welche Leistungen die Ge- suchstellerin zu erbringen hat, welches Alter und welchen Gesundheitszu- stand die Eltern und Geschwister aufweisen und inwieweit diese auf die Gesuchstellerin angewiesen sind. Zudem kann, wie die Vorinstanz zutref- fend ausführt, keine existenzielle Abhängigkeit abgeleitet werden, wenn die Gesuchstellerin eine Visumdauer von zwei Monaten beantragt. Angesichts dessen ist nicht ersichtlich, inwiefern die Tatsachenfeststellungen der Vo- rinstanz falsch beziehungsweise unvollständig gewesen sein sollten. Der Untersuchungsgrundsatz gilt nicht absolut und findet seine Grenze in der Pflicht der Partei, an der Feststellung des rechtserheblichen Sachverhalts mitzuwirken (Art. 13 Abs. 1 VwVG; BGE 138 II 465 E. 8.6.4; ferner Urteile des BVGer F-599/2023 vom 31. Januar 2024 E. 4.1; F-3588/2021 vom 16. Januar 2023 E. 3.3; je m.w.H.). Damit liegt der Verfügung keine den Unter- suchungsgrundsatz missachtende, unrichtige oder gar willkürliche Fest- stellung des rechtserheblichen Sachverhalts zugrunde.</w:t>
      </w:r>
    </w:p>
    <w:p>
      <w:r>
        <w:rPr>
          <w:b/>
        </w:rPr>
        <w:t>E. 2.4</w:t>
      </w:r>
    </w:p>
    <w:p>
      <w:r>
        <w:t>Der Anspruch auf rechtliches Gehör nach Art. 29 Abs. 2 BV umfasst alle Befugnisse, die einer Partei einzuräumen sind, damit sie in einem</w:t>
      </w:r>
    </w:p>
    <w:p>
      <w:r>
        <w:t>F-6053/2023 Seite 5 Verfahren ihren Standpunkt wirksam zur Geltung bringen kann (BGE 144 II 427 E. 3.1). Er verlangt, dass die Behörde die Vorbringen der vom Ent- scheid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2.5</w:t>
      </w:r>
    </w:p>
    <w:p>
      <w:r>
        <w:t>In ihrem Entscheid verweist die Vorinstanz auf die Inlandabklärungen der Wohngemeinde des Beschwerdeführers (SEM-Act. 7, pag. 161). Dort wurde festgehalten, dass die finanzielle Garantiefähigkeit des Beschwer- deführers aufgrund diverser Betreibungen und hoher Steuerausstände nicht gegeben sei. Weiter verwies die Wohngemeinde auf die Ausführun- gen des Beschwerdeführers im Fragebogen, wonach er gedenke, die Ge- suchstellerin vielleicht zu heiraten (SEM-Act. 7 pag. 152 und 156). In der Konsequenz konnte und musste der Beschwerdeführer davon ausgehen, dass die Vorinstanz auf diese Punkte Bezug nahm, soweit sie im Zusam- menhang mit den Inlandabklärungen von einer negativen Einschätzung sprach. Die Begründung der Vorinstanz erweist sich als hinreichend klar, um angefochten zu werden. Des Weiteren liegt der Hauptgrund für die Ab- weisung der Einsprache in den fehlenden starken Bindungen der Gesuch- stellerin mit ihrem Heimatstaat und nicht im Ergebnis der Inlandabklärun- gen. Infolgedessen hatte der Verweis auf die Inlandabklärungen eine Ne- benrolle und wurde auch ausdrücklich als Zusatzgrund aufgeführt (SEM- Act. 7, pag. 161). Es liegt somit keine Verletzung des rechtlichen Gehörs vor.</w:t>
      </w:r>
    </w:p>
    <w:p>
      <w:r>
        <w:rPr>
          <w:b/>
        </w:rPr>
        <w:t>E. 2.6</w:t>
      </w:r>
    </w:p>
    <w:p>
      <w:r>
        <w:t>Die formellen Rügen erweisen sich als unbegründet. Es besteht keine Veranlassung, die Sache zur Sachverhaltsfeststellung und Neubeurteilung an die Vorinstanz zurückzuweisen. Das entsprechende Eventualbegehren ist abzuweisen.</w:t>
      </w:r>
    </w:p>
    <w:p>
      <w:r>
        <w:rPr>
          <w:b/>
        </w:rPr>
        <w:t>E. 3.1</w:t>
      </w:r>
    </w:p>
    <w:p>
      <w:r>
        <w:t>Dem angefochtenen Entscheid liegt ein Gesuch einer indischen Staats- angehörigen um Erteilung eines Visums zu Besuchszwecken in der Schweiz zugrunde. Da sich die Gesuchstellerin nicht auf die EU/EFTA-</w:t>
      </w:r>
    </w:p>
    <w:p>
      <w:r>
        <w:t>F-6053/2023 Seite 6 Personenfreizügigkeitsabkommen berufen kann und die beabsichtigte Auf- enthaltsdauer 90 Tage nicht überschreitet, fällt die vorliegende Streitsache in den Anwendungsbereich der Schengen-Assoziierungsabkommen, mit denen die Schweiz den Schengen-Besitzstand und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 teilung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w:t>
      </w:r>
    </w:p>
    <w:p>
      <w:r>
        <w:t>F-6053/2023 Seite 7 Mitgliedstaats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indischen Staatsangehörigkeit unterliegt die Gesuch- stellerin der Visumspflicht (vgl. Art. 8 Abs. 1 VEV i.V.m. Anhang I Verord- nung [EU] 2018/1806; Art. 6 Abs. 1 Bst. b SGK).</w:t>
      </w:r>
    </w:p>
    <w:p>
      <w:r>
        <w:rPr>
          <w:b/>
        </w:rPr>
        <w:t>E. 4.1</w:t>
      </w:r>
    </w:p>
    <w:p>
      <w:r>
        <w:t>Die Vorinstanz begründet die Abweisung der Einsprache im Wesentli- chen damit, dass die Wiederausreise der Gesuchstellerin nicht gewährleis- tet sei.</w:t>
      </w:r>
    </w:p>
    <w:p>
      <w:r>
        <w:t>F-6053/2023 Seite 8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 10. Juni 2024 E. 6.2; F-3759/2023 vom 9. Februar 2024 E. 6.1; je m.w.H.). Dem Einwand, die allgemeine sozioökonomische Lage in Indien dürfe nicht zur pauschalen Annahme führen, dass die Gesuchstellerin nicht fristge- recht aus dem Schengen-Raum ausreisen würden, ist entgegenzuhalten, dass ein gewisser Schematismus in diesem Zusammenhang nicht in Ab- rede gestellt werden kann (vgl. Urteil des BVGer F-858/2024 vom 11. Sep- tember 2024 E. 5.2). Ein im Zielland bestehendes, minimales soziales Beziehungsnetz aus Ver- wandten oder Freunden ist zudem ein wichtiges Element, das den Ent- scheid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 Das Risiko einer nicht fristgerechten Wiederausreise der Gesuchstellerin ist aufgrund dieser allgemeinen Einschätzung grundsätzlich als hoch ein- zustufen.</w:t>
      </w:r>
    </w:p>
    <w:p>
      <w:r>
        <w:rPr>
          <w:b/>
        </w:rPr>
        <w:t>E. 4.3</w:t>
      </w:r>
    </w:p>
    <w:p>
      <w:r>
        <w:t>Bei der Risikoanalyse sind allerdings nicht nur allgemeine Umstände und Erfahrungen, sondern auch sämtliche Gesichtspunkte des konkreten Einzelfalles zu berücksichtigen. Obliegt einer gesuchstellenden Person im Heimatland eine besondere berufliche, gesellschaftliche oder familiäre Ver- antwortung, kann dieser Umstand durchaus die Prognose für eine an- standslose Wiederausreise begünstigen. Demgegenüber muss bei Perso- nen, die in ihrer Heimat keine besonderen Verpflichtungen haben, das</w:t>
      </w:r>
    </w:p>
    <w:p>
      <w:r>
        <w:t>F-6053/2023 Seite 9 Risiko für ein ausländerrechtlich nicht regelkonformes Verhalten nach einer bewilligten Einreise als hoch eingeschätzt werden (BVGE 2014/1 E. 6.3.1).</w:t>
      </w:r>
    </w:p>
    <w:p>
      <w:r>
        <w:rPr>
          <w:b/>
        </w:rPr>
        <w:t>E. 4.4</w:t>
      </w:r>
    </w:p>
    <w:p>
      <w:r>
        <w:t>Die (…)-jährige unverheiratete Gesuchstellerin lebt in der Stadt (…) im Bundesstaat (…). Ihre Eltern und Geschwister leben ebenfalls dort und sie verfügt damit über ein familiäres Beziehungsnetz. Der Beschwerdeführer macht geltend, die Gesuchstellerin sorge für den Unterhalt ihrer Eltern und kümmere sich um sie (vgl. BVGer-Act. 1, Rz. 6). In diesem Kontext wird jedoch nicht weiter geklärt, inwiefern eine solche Abhängigkeit tatsächlich besteht, auf welche Art und Weise die Eltern durch die Gesuchstellerin per- sönlich versorgt werden und in welchem Gesundheitszustand sich die El- tern aktuell befinden. Weiter wird nicht näher ausgeführt, wie genau der Beschwerdeführer die Gesuchstellerin und deren Familie unterstützt, z.B. ob es sich um eine Naturalleistung oder um eine Geldleistung handelt.</w:t>
      </w:r>
    </w:p>
    <w:p>
      <w:r>
        <w:rPr>
          <w:b/>
        </w:rPr>
        <w:t>E. 4.5</w:t>
      </w:r>
    </w:p>
    <w:p>
      <w:r>
        <w:t>In Bezug auf die wirtschaftlichen Verhältnisse ist aktenkundig, dass die Gesuchstellerin ihre berufliche Tätigkeit beim zuletzt bekannten Arbeitge- ber aufgegeben hat (vgl. SEM-Act. 4, pag. 133). Den Akten lässt sich kein Hinweis auf den Antritt einer neuen Stelle beziehungsweise die Aufnahme einer neuen wirtschaftlichen Tätigkeit entnehmen. Folglich erweisen sich die Behauptungen des Beschwerdeführers in Bezug auf eine angebliche Tätigkeit der Gesuchstellerin im Immobilien- und Tourismussektor (vgl. SEM-Act. 7, pag. 152) als unbegründet. Bekannt ist die Existenz zweier Bankkonten, deren Stand im Jahr 2023 INR 478'039.96 (entsprechend ak- tuell Fr. 4’862.52) beziehungsweise INR 51'813.92 (entsprechend aktuell Fr. 527.03) betrug (vgl. SEM-Act. 4, pag. 98–115). Weiter ist bekannt, dass die Gesuchstellerin Eigentümerin einer Liegenschaft ist (vgl. BVGer- Act. 10). Aufgrund der Knappheit von Angaben zur finanziellen und wirt- schaftlichen Lage im Jahr 2024 sowie in den vorangegangenen Jahren ist eine eindeutige Schlussfolgerung hinsichtlich der Existenz eines regelmäs- sigen Einkommens nicht möglich. Aus dem gleichen Grund ist keine ver- lässliche Einschätzung der Vermögenslage durchführbar. Selbst wenn sich die Gesuchstellerin in einer für die lokalen Verhältnisse guten wirtschaftli- chen Situation befände, vermöchte sie dies nicht verlässlich daran zu hin- dern, das Herkunftsland dauerhaft zu verlassen, da Grundeigentum und andere Vermögenswerte bei einer Emigration nicht verloren gehen (vgl. BVGE 2014/1 E.6.3.6 m.H.). Folglich kann nicht von derart soliden wirt- schaftlichen Verhältnissen der Gesuchstellerin ausgegangen werden, die sie von einer Emigration abhalten könnten. Des Weiteren hielt der Be- schwerdeführer in einem Fragebogen fest, dass er gedenke die Gesuch- stellerin vielleicht zu heiraten (SEM-Act. 7, pag. 152). Mit der Vorinstanz ist</w:t>
      </w:r>
    </w:p>
    <w:p>
      <w:r>
        <w:t>F-6053/2023 Seite 10 deshalb davon auszugehen, dass die Gesuchstellerin aufgrund ihrer per- sönlichen Situation keine Verpflichtungen oder gar Abhängigkeiten hat, die besondere Gewähr für eine Rückkehr ins Heimatland bieten könnten.</w:t>
      </w:r>
    </w:p>
    <w:p>
      <w:r>
        <w:rPr>
          <w:b/>
        </w:rPr>
        <w:t>E. 4.6</w:t>
      </w:r>
    </w:p>
    <w:p>
      <w:r>
        <w:t>Nach dem Gesagten ist die Schlussfolgerung der Vorinstanz, wonach die Wiederausreise der Gesuchstellerin angesichts der allgemeinen Lage in Indien sowie ihrer individuellen Situation nicht als gesichert angesehen werden könne, nicht zu beanstanden. Mithin fehlt es an einer unabdingba- ren Voraussetzung für die Erteilung eines einheitlichen Visums für den ge- samten Schengen-Raum. Gründe für die Ausstellung eines Visums mit räumlich beschränkter Gültigkeit wurden zu Recht nicht geltend gemacht und solche sind auch nicht ersichtlich.</w:t>
      </w:r>
    </w:p>
    <w:p>
      <w:r>
        <w:rPr>
          <w:b/>
        </w:rPr>
        <w:t>E. 4.7</w:t>
      </w:r>
    </w:p>
    <w:p>
      <w:r>
        <w:t>In Bezug auf die vom Beschwerdeführer in Aussicht gestellte Kaution ist gemäss Art. 6 Abs. 3 SGK i.V.m. Art. 6 Abs. 3 AIG und Art. 32 Abs. 1 Bst. a Ziff. 3 VK i.V.m. Art. 14 Abs. 1 VEV die Zahlungsfähigkeit der sicherheits- hinterlegenden Person nachzuweisen. Den Akten sind verschiedene Be- treibungen zulasten des Beschwerdeführers zu entnehmen, welche di- verse Forderungen des Gemeinwesens betreffen (SEM-Act. 5, pag. 143). Änderungen bezüglich dieser Einträge im Betreibungsregister sind nicht ersichtlich und werden auch nicht belegt, weshalb davon ausgegangen werden muss, dass der Beschwerdeführer seine öffentlich-rechtlichen Schulden nicht beglichen hat und auch in absehbarer Zeit nicht begleichen kann. Demnach ist davon auszugehen, dass der Beschwerdeführer eine Kaution in Höhe des gestellten Subeventualantrags nicht leisten könnte, weshalb seine Zahlungsfähigkeit zu verneinen ist. Selbst wenn diese Vo- raussetzung erfüllt wäre, wäre klarzustellen, dass der Gastgeber mit der Hinterlegung einer Kaution zwar für bestimmte finanzielle Risiken, nicht aber für ein bestimmtes Verhalten seiner Gäste einstehen kann (vgl. BVGE 2014/1 E. 6.3.7 und BVGE 2009/27 E. 9). Im Rahmen der Inlandabklärun- gen hat der Beschwerdeführer bereits seine Heiratsabsicht bekundet (vgl. oben, S. 9), sodass trotz Sicherheitsleistung die Ausreise der Gesuchstel- lerin nach Ablauf der Visumsdauer nicht gewährleistet werden kann. Der Subeventualantrag ist folglich abzuweisen.</w:t>
      </w:r>
    </w:p>
    <w:p>
      <w:r>
        <w:rPr>
          <w:b/>
        </w:rPr>
        <w:t>E. 5</w:t>
      </w:r>
    </w:p>
    <w:p>
      <w:r>
        <w:t>Die angefochtene Verfügung erweist sich im Lichte von Art. 49 VwVG als rechtmässig. Die Beschwerde ist demzufolge abzuweisen.</w:t>
      </w:r>
    </w:p>
    <w:p>
      <w:r>
        <w:rPr>
          <w:b/>
        </w:rPr>
        <w:t>E. 6</w:t>
      </w:r>
    </w:p>
    <w:p>
      <w:r>
        <w:t>Bei diesem Ausgang des Verfahrens sind die Kosten dem</w:t>
      </w:r>
    </w:p>
    <w:p>
      <w:r>
        <w:t>F-6053/2023 Seite 11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F-6053/2023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