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F-6051/2017 vom 10. April 2019</w:t>
      </w:r>
    </w:p>
    <w:p>
      <w:r>
        <w:t>Bundesverwaltungsgericht, 2019-04-10, DE</w:t>
      </w:r>
    </w:p>
    <w:p>
      <w:r>
        <w:rPr>
          <w:b/>
        </w:rPr>
        <w:t xml:space="preserve">Quelle: </w:t>
      </w:r>
      <w:r>
        <w:t>https://mcp.opencaselaw.ch/entscheid/bvger_F-6051_2017</w:t>
      </w:r>
    </w:p>
    <w:p>
      <w:r>
        <w:t>FR: TAF F-6051/2017 du 10 avril 2019</w:t>
      </w:r>
    </w:p>
    <w:p>
      <w:r>
        <w:t>IT: TAF F-6051/2017 del 10 aprile 2019</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hat insoweit am vorinstanzlichen Verfahren teilgenommen, als er gegen den ablehnenden botschaftlichen Entscheid vom 13. Dezember 2016 Einsprache erhoben hat. Als Gastgeber des Gesuchstellers ist er durch die angefochtene Verfügung besonders berührt und hat ein schutzwürdiges Interesse an deren Aufhebung oder Änderung. Die Vor-aussetzungen der Beschwerdelegitimation sind somit erfüllt (vgl. Art. 48 Abs. 1 Bst. a - c VwVG). Auf die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eines iranischen Staatsangehörigen.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 und Integrationsgesetz (AIG [SR 142.20], und seine Ausführungsbestimmungen gelangen nur insoweit zur Anwendung, als die Schengen-Assoziierungsabkommen keine abweichenden Bestimmungen enthalten (vgl. Art. 2 Abs. 4 AIG sowie Art. 1 Abs. 2 der Verordnung vom 15. August 2018 über die Einreise und die Visumserteilung [VEV, SR 142.204]). Die Einreisebestimmungen des AIG sind inhaltlich identisch mit denjenigen des im Zeitpunkt des Visumsgesuchs geltenden Ausländergesetzes (AuG), welches auf den 1. Januar 2019 hin eine namentliche und inhaltliche Anpassung erfuhr. Gleiches gilt für die im vorliegenden Fall massgeblichen Bestimmungen der VEV, welche seinerzeit in der Fassung vom 22. Oktober 2008 Gültigkeit hatte.</w:t>
      </w:r>
    </w:p>
    <w:p>
      <w:r>
        <w:rPr>
          <w:b/>
        </w:rPr>
        <w:t>E. 4</w:t>
      </w:r>
    </w:p>
    <w:p>
      <w:r>
        <w:t>Drittstaatsangehörige müssen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w:t>
      </w:r>
    </w:p>
    <w:p>
      <w:r>
        <w:t>Im vorliegenden Fall hat die Vorinstanz die fristgerechte und anstandslose Wiederausreise des Gesuchstellers als nicht gewährleistet betrachtet und dies sowohl mit der wirtschaftlichen Situation in seinem Heimatland als auch mit seinen persönlichen Verhältnissen begründet.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6.1</w:t>
      </w:r>
    </w:p>
    <w:p>
      <w:r>
        <w:t>Die Wirtschaft Irans liegt - trotz Bestrebungen um eine deutliche Erhöhung des privaten Anteils - überwiegend in den Händen des Staates beziehungsweise religiöser Stiftungen. Zu ihren wichtigsten Zweigen gehören die Öl- und Gasindustrie, die petrochemische Industrie, die Kfz-Industrie sowie die Landwirtschaft und die Metallindustrie. Bedeutendstes Exportgut Irans ist das Öl, dessen wichtigste Abnehmer China, Indien, Südkorea, Türkei, Japan und die EU sind. Mit der Aufhebung der Wirtschafts- und Finanzsanktionen durch die Wiener Nuklearvereinbarung vom 16. Januar 2016 erreichte Iran bei der Ölförderung innerhalb von zwei Jahren das frühere Niveau von rund 4 Mio. Fass täglich. Allein der Aussenhandel zwischen Iran und der EU wuchs in diesem Zeitraum im Schnitt jährlich um 53 Prozent. Positive Auswirkungen auf den Arbeitsmarkt blieben dennoch aus, obwohl der Wegfall der Sanktionen zu einem Wirtschaftswachstum von 7 Prozent und zu einem Rückgang der Inflationsrate auf 10 Prozent - beides laut iranischen Angaben - führte. Die Arbeitslosenrate betrug den letzten offiziellen Angaben zufolge 12,1 Prozent, die Jugendarbeitslosigkeit (15 - 29 Jahre) 25,3 Prozent. Dass jedes Jahr 1 Mio. neue Arbeitskräfte auf den Arbeitsmarkt drängen und Iran im Doing-Business-Index der Weltbank von 2017 unter 190 Nationen den 124. Rang belegt, macht deutlich, dass sich für die arbeitsmarktlichen Probleme Irans bis auf weiteres keine Lösung abzeichnet (vgl. Deutsches Auswärtiges Amt, http://www.auswaertiges-amt.de &gt; Aussen- und Europapolitik &gt; Länder &gt; Iran &gt; Wirtschaftspolitik &gt; Wirtschaftsstruktur/Aktuelle Wirtschaftslage [Stand: Juni 2018]. Aufgrund des im Mai 2018 erklärten Ausstiegs der USA aus dem Atomabkommen vom 16. Januar 2016 - einhergehend mit deren Druck auf die europäischen Staaten - steht sogar zu erwarten, dass sich die wirtschaftliche Lage nochmals verdüstert. Offizielle Zahlen für das zweite Halbjahr 2018 sind bisher nicht bekannt. Mit der Wiederwahl von Hassan Rohani als Staatspräsident im Mai 2017 verband die iranische Bevölkerung die Hoffnung auf Stärkung der Bürgerrechte und Meinungsfreiheit. Ihre Erwartungen nach einer Liberalisierung im Innern, welche Rohani schon für seine vorhergehende Amtszeit versprochen hatte, konnte dieser jedoch bis anhin nicht erfüllen. Die Menschenrechtslage in Iran bleibt somit nach Amtsantritt einer gemässigten Regierung im Juli 2013 trotz gradueller Verbesserungen im Bereich der Kunst- und Pressefreiheit nahezu unverändert kritisch. Regimegegner sowie religiöse und ethnische Minderheiten sind nach wie vor regelmässig Opfer staatlicher Repressionen. Ausserordentlich hoch ist die Anzahl an Hinrichtungen (vgl. Deutsches Auswärtiges Amt, a.a.O., Iran &gt; Innenpolitik &gt; Innenpolitische Entwicklung der letzten Jahre [Stand: 15. Februar 2019]). Vor diesem Hintergrund erklärt sich die 2018 gegenüber dem Vorjahr um 58 Prozent gestiegene Zahl der hiesigen Asylsuchenden aus dem Iran, von denen sich Ende letzten Jahres 1'001 Personen im Verfahrensprozess befanden. Mit 504 Gesuchen im vergangenen Jahr lag Iran damit an elfter Stelle der wichtigsten Herkunftsländer (Quelle: Staatssekretariat für Migration, http://www.sem.admin.ch &gt; Publikationen &amp; Service &gt; Asylstatistik &gt; Asylstatistik 2018 S. 5, 12 und 14).</w:t>
      </w:r>
    </w:p>
    <w:p>
      <w:r>
        <w:rPr>
          <w:b/>
        </w:rPr>
        <w:t>E. 6.2</w:t>
      </w:r>
    </w:p>
    <w:p>
      <w:r>
        <w:t>Die oben dargelegte Situation im Herkunftsland des Gesuchstellers macht den dort vielfach bestehenden Wunsch nach Emigration nachvollziehbar, darf jedoch nicht zwingend dazu führen, dass Gesuchstellern aus dem Iran generell ein fehlender Rückkehrwille unterstellt wird. Deren sozialen Bindungen und Verpflichtungen muss angesichts der dortigen sozio-ökonomischen Verhältnisse allerdings erhebliches Gewicht zukommen, damit die anstandslose Wiederausreise als wahrscheinlich gelten kann. Anders als der Beschwerdeführer meint, können diese strengen Anforderungen somit durchaus dazu führen, dass in bestimmten Weltregionen einer Mehrzahl von Gesuchstellern das beantragte Visum zu verweigern ist.</w:t>
      </w:r>
    </w:p>
    <w:p>
      <w:r>
        <w:rPr>
          <w:b/>
        </w:rPr>
        <w:t>E. 6.2.1</w:t>
      </w:r>
    </w:p>
    <w:p>
      <w:r>
        <w:t>In seiner Rechtsmitteleingabe hat der Beschwerdeführer auf das langjährige Arbeitsverhältnis und die überdurchschnittlich gute Einkommens- und Vermögenssituation des Gesuchstellers hingewiesen (vgl. Sachverhalt C). Doch selbst wenn dieser bisher ein materiell sorgenfreies Leben führen konnte, so kommt dem - angesichts der beschriebenen arbeitsmarktlichen Probleme und der dazu fehlenden Lösungen - keine entscheidende Bedeutung zu. Seine Ersparnisse, auf welche auch im Ausland Zugriff bestünde, reichen als Motivation für die Rückkehr ins Herkunftsland jedenfalls nicht aus. Gleiches gilt für das erwähnte Grundstück im Heimatland, das mit einer Fläche von 362 Quadratmetern (vgl. Vorakten S. 20) als Vermögenswert gering erscheint und zudem liquidiert werden könnte.</w:t>
      </w:r>
    </w:p>
    <w:p>
      <w:r>
        <w:rPr>
          <w:b/>
        </w:rPr>
        <w:t>E. 6.2.2</w:t>
      </w:r>
    </w:p>
    <w:p>
      <w:r>
        <w:t>Im Hinblick auf die vom Beschwerdeführer beschriebenen familiären Beziehungen des Gesuchstellers - gute Kontakte zur Mutter und zu den Geschwistern - ist festzustellen, dass diese dem allgemein Üblichen entsprechen. Darüberhinausgehende familiäre Verbindlichkeiten - wie etwa Unterhaltsverpflichtungen gegenüber einer Ehefrau und eigenen Kindern - hat der ledige Gesuchsteller (vgl. Vorakten S. 27) jedoch nicht. Von daher kann angesichts der nicht unproblematischen Situation in seinem Heimatland ein Wunsch nach Emigration durchaus vermutet werden. Auch der 1974 geborene B._______, nur wenig jünger als der Gesuchsteller, ist erst im Jahr 2013 aus dem Iran in die Schweiz eingereist, um mit dem Beschwerdeführer in einer eingetragenen Partnerschaft zu leben. Letzterer behauptet zwar, der Gesuchsteller habe hier mangels Sprachkenntnissen und aufgrund eines fehlenden sozialen Netzes keine Zukunftsperspektiven; dies ist jedoch vor dem Hintergrund der eigenen Erfahrungen kein überzeugendes Argument, welches für die Rückkehr des eingeladenen Gastes spricht.</w:t>
      </w:r>
    </w:p>
    <w:p>
      <w:r>
        <w:rPr>
          <w:b/>
        </w:rPr>
        <w:t>E. 6.2.3</w:t>
      </w:r>
    </w:p>
    <w:p>
      <w:r>
        <w:t>Unerheblich ist, ob der Beschwerdeführer von der fristgerechten Wiederausreise des Gesuchstellers überzeugt ist. Gastgeber können zwar für gewisse finanzielle Risiken im Zusammenhang mit einem Besuchsaufenthalt garantieren, nicht jedoch für die tatsächlichen Absichten und für ein bestimmtes Verhalten ihrer Gäste (vgl. BVGE 2009/27 E. 9). Von daher ist auch nicht ausschlaggebend, dass ein ehemaliger und ebenfalls visumspflichtiger Gast des Beschwerdeführers wieder anstandslos in seine Heimat zurückgekehrt ist. Welche Umstände seinerzeit für die Erteilung des Visums sprachen, kann und braucht an dieser Stelle nicht geklärt werden.</w:t>
      </w:r>
    </w:p>
    <w:p>
      <w:r>
        <w:rPr>
          <w:b/>
        </w:rPr>
        <w:t>E. 7</w:t>
      </w:r>
    </w:p>
    <w:p>
      <w:r>
        <w:t>Mit der Vorinstanz ist folglich davon auszugehen, dass der Gesuchsteller die Einreisevoraussetzungen (vgl. E. 4) nicht erfüllt. Der angefochtene Einspracheentscheid ist daher als rechtmässig zu bestätigen (vgl. Art. 49 VwVG) und die Beschwerde abzuweisen.</w:t>
      </w:r>
    </w:p>
    <w:p>
      <w:r>
        <w:rPr>
          <w:b/>
        </w:rPr>
        <w:t>E. 8</w:t>
      </w:r>
    </w:p>
    <w:p>
      <w:r>
        <w:t>Bei diesem Ausgang des Verfahrens sind dessen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