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F-6040/2020 vom 27. März 2023</w:t>
      </w:r>
    </w:p>
    <w:p>
      <w:r>
        <w:t>Bundesverwaltungsgericht, 2023-03-27, DE</w:t>
      </w:r>
    </w:p>
    <w:p>
      <w:r>
        <w:rPr>
          <w:b/>
        </w:rPr>
        <w:t xml:space="preserve">Quelle: </w:t>
      </w:r>
      <w:r>
        <w:t>https://mcp.opencaselaw.ch/entscheid/bvger_F-6040_2020</w:t>
      </w:r>
    </w:p>
    <w:p>
      <w:r>
        <w:t>FR: TAF F-6040/2020 du 27 mars 2023</w:t>
      </w:r>
    </w:p>
    <w:p>
      <w:r>
        <w:t>IT: TAF F-6040/2020 del 27 marzo 2023</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Der Beschwerdeführer rügt implizit eine Verletzung des rechtlichen Gehörs, indem er geltend macht, in der angefochtenen Schlussverfügung sei weder auf die Argumente seiner Stellungnahme vom 27. Juli 2020 noch auf die damit eingereichten Beweismittel eingegangen worden.</w:t>
      </w:r>
    </w:p>
    <w:p>
      <w:r>
        <w:rPr>
          <w:b/>
        </w:rPr>
        <w:t>E. 3.2</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sie ihren Entscheid stützt. Nicht erforderlich ist hingegen, dass sich die Behörde mit allen Parteistandpunkten einlässlich auseinandersetzt und jedes einzelne Vorbringen ausdrücklich widerlegt (vgl. BGE 142 III 433 E. 4.3.2; 141 III 28 E. 3.2.4).</w:t>
      </w:r>
    </w:p>
    <w:p>
      <w:r>
        <w:rPr>
          <w:b/>
        </w:rPr>
        <w:t>E. 3.3</w:t>
      </w:r>
    </w:p>
    <w:p>
      <w:r>
        <w:t>Die Vorinstanz hat in ihrer Verfügung alle wesentlichen Punkte, die der Beschwerdeführer in seiner Stellungnahme vorgebracht hat, berücksichtigt. Unter Ziffer 4 hat sie sich zur Erheblichkeit der von den französischen Behörden angeforderten Informationen geäussert. Die Tatsache, dass sie dies vorab in allgemeiner Weise getan hat, ist dem Umstand geschuldet, dass das Bundesgericht in Bezug auf das - auch dem vorliegenden Sachverhalt zugrunde liegende - Listenersuchen Frankreichs vom 11. Mai 2016 im Rahmen von BGE 146 II 150 festgestellt hat, es liege keine «fishing expedition» vor und die voraussichtliche Erheblichkeit der ersuchten Informationen sei zu bejahen. Auf dieses höchstrichterliche Urteil musste sich die Vorinstanz berufen und war aufgrund der dortigen Feststellungen nicht gehalten, eingehendere Ausführungen zu den Parteistandpunkten zu machen. Auch auf den implizit geltend gemachten Verstoss gegen den Grundsatz von Treu und Glauben (Herkunft der Daten) ist die Vorinstanz in Ziff. 6 der angefochtenen Verfügung in rechtsgenüglicher Weise eingegangen. Aus der Verfügung wird insgesamt ersichtlich, von welchen Kriterien sich die Vorinstanz hat leiten lassen und weshalb sie zum Schluss gelangt ist, die ersuchte Amtshilfe sei zu leisten. Dem Beschwerdeführer ist es möglich gewesen, die Verfügung sachgerecht anzufechten. Eine Gehörsverletzung ist damit zu verneinen.</w:t>
      </w:r>
    </w:p>
    <w:p>
      <w:r>
        <w:rPr>
          <w:b/>
        </w:rPr>
        <w:t>E. 4.1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4.2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(SR 0.672.934.91)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4.2.1</w:t>
      </w:r>
    </w:p>
    <w:p>
      <w:r>
        <w:t>Gemäss Art. 11 Abs. 3 des Zusatzabkommens 2009 findet dieses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4.2.2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sondern anhand bekannter Banknummern identifiziert werden (BGE 146 II 150 E. 5.6).</w:t>
      </w:r>
    </w:p>
    <w:p>
      <w:r>
        <w:rPr>
          <w:b/>
        </w:rPr>
        <w:t>E. 5.1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5.2</w:t>
      </w:r>
    </w:p>
    <w:p>
      <w:r>
        <w:t>Das Bundesgericht hat in BGE 146 II 150 das Amtshilfeersuchen Frankreichs vom 11. Mai 2016 für zulässig erklärt, womit es implizit auch die Voraussetzungen von Ziff. XI Abs. 3 des Zusatzprotokolls als erfüllt erachtete. Dies wird vom Beschwerdeführer nicht bestritten.</w:t>
      </w:r>
    </w:p>
    <w:p>
      <w:r>
        <w:rPr>
          <w:b/>
        </w:rPr>
        <w:t>E. 6.1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Abs. 2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6.3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A-1562/2018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beziehungsweise eine entsprechende Zusicherung einzuholen (vgl. BGE 146 II 150 E. 7.3; 128 II 407 E. 3.2; BVGE 2018 III/1 E. 2.9.1).</w:t>
      </w:r>
    </w:p>
    <w:p>
      <w:r>
        <w:rPr>
          <w:b/>
        </w:rPr>
        <w:t>E. 6.4</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Urteile des BVGer A-6532/2020 vom 21. Dezember 2021 E. 3.4, A-3186/2019 vom 20. August 2020 E. 2.8.3, A-1534/2018 E. 6.2).</w:t>
      </w:r>
    </w:p>
    <w:p>
      <w:r>
        <w:rPr>
          <w:b/>
        </w:rPr>
        <w:t>E. 7</w:t>
      </w:r>
    </w:p>
    <w:p>
      <w:r>
        <w:t>In der Rechtsmitteleingabe macht der Beschwerdeführer im Wesentlichen geltend, weder er noch die B._______ LTD. seien zum Zeitpunkt des Amtshilfegesuchs und auch nicht in den zehn Jahren zuvor in Frankreich ansässig oder steuerpflichtig gewesen. Ihre Kontobeziehung mit der UBS sei nur aufgrund einer Liste von fragwürdiger Herkunft, die eine falsche Codierung enthalte, ins Visier eines Steueramtshilfegesuchs aus Frankreich geraten. Die UBS selbst habe der Vorinstanz auf Ersuchen angegeben, dass er (...) mit Wohnsitz in C._______ sei. Er habe keinen Bezug zu Frankreich, weshalb das DBA CH-FR nicht anwendbar und die Amtshilfe somit unzulässig sei. Auf Nachfrage bei der französischen Steuerbehörde DGFP sei ihm per E-Mail bestätigt worden, dass er dieser Behörde nicht bekannt sei.</w:t>
      </w:r>
    </w:p>
    <w:p>
      <w:r>
        <w:rPr>
          <w:b/>
        </w:rPr>
        <w:t>E. 8.1</w:t>
      </w:r>
    </w:p>
    <w:p>
      <w:r>
        <w:t>Das Bundesgericht hat das Amtshilfeersuchen Frankreichs vom 11. Mai 2016 im Rahmen von BGE 146 II 150 beurteilt und für zulässig erachtet (vgl. Sachverhalt Bst. E.c).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w:t>
      </w:r>
    </w:p>
    <w:p>
      <w:r>
        <w:rPr>
          <w:b/>
        </w:rPr>
        <w:t>E. 8.2</w:t>
      </w:r>
    </w:p>
    <w:p>
      <w:r>
        <w:t>Der Bezug zu Frankreich wird vorliegend durch die in den UBS-Listen aufgeführten Domizilcodes hergestellt. Indem das Bundesgericht das Amtshilfeersuchen vom 11. Mai 2016 als zulässig beurteilt hat, hat es implizit auch den Domizilcode als hinreichenden Anknüpfungspunkt für eine mögliche Steuerpflicht in Frankreich (für die Jahre 2010 bis 2015) qualifiziert. Der Beschwerdeführer beziehungsweise seine individuelle Banknummer befanden sich unbestrittenermassen auf den UBS-Listen, und zwar in Verbindung mit dem Domizilcode für Frankreich. Damit ist ein steuerrechtlicher Anknüpfungspunkt zum ersuchenden Staat gegeben, und folglich sind auch die erfragten Informationen als voraussichtlich erheblich zu beurteilen. Entgegen der Ansicht des Beschwerdeführers ist es im Rahmen des Amtshilfeverfahrens nicht Aufgabe der Schweizer Behörden zu prüfen, ob nach französischem Recht ein Steuerwohnsitz in Frankreich besteht (BGE 145 II 112 E. 2.2.2; 142 II 161 E. 2.2.2; Urteil des BGer 2C_805/2018 vom 23. August 2019 E. 4.5). Selbst ein nachgewiesener Wohnsitz ausserhalb Frankreichs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(Urteil des BGer 2C_953/2020 vom 24. November 2021 E. 3.5 mit Hinweisen auf BGE 142 II 161 und 142 II 218). Aus diesem Grund ist auch unerheblich, welchen Wohnsitz die UBS der Vor-instanz angegeben hat, zumal es sich bei der Auskunft lediglich um die Adressen handelte, die der Bank im Jahr 2015 zur Verfügung gestanden sind. Entgegen der Ansicht des Beschwerdeführers lässt sich damit nicht nachweisen, dass die UBS-Listen mit den Domizil-Codes fehlerhaft gewesen sein sollen (vgl. Urteil des BGer 2C_109/2022 vom 30. Januar 2023 E. 4.4, 4.6 und 4.6.1 f.). Die E-Mail der französischen Steuerbehörde datiert sodann vom 27. Juni 2017 und belegt lediglich, dass ihr der Beschwerdeführer zu diesem Zeitpunkt nicht bekannt gewesen ist (vgl. act. 1 Beilage 5). Einen Wohnsitz ausserhalb von Frankreich in den Jahren 2006 bis 2008 kann damit nicht bewiesen werden.</w:t>
      </w:r>
    </w:p>
    <w:p>
      <w:r>
        <w:rPr>
          <w:b/>
        </w:rPr>
        <w:t>E. 9</w:t>
      </w:r>
    </w:p>
    <w:p>
      <w:r>
        <w:t>Zusammenfassend sind die Voraussetzungen für die in der Schlussverfügung vom 3. November 2020 vorgesehene Amtshilfeleistung erfüllt. Die Beschwerde ist abzuweisen.</w:t>
      </w:r>
    </w:p>
    <w:p>
      <w:r>
        <w:rPr>
          <w:b/>
        </w:rPr>
        <w:t>E. 10.1</w:t>
      </w:r>
    </w:p>
    <w:p>
      <w:r>
        <w:t>Ausgangsgemäss hat der Beschwerdeführer die auf Fr. 5'000.- festzusetzenden Verfahrenskosten zu tragen (Art. 63 Abs. 1 VwVG und Art. 2 Abs. 1 i.V.m. Art. 4 des Reglements vom 21. Februar 2008 über die Kosten und Entschädigungen vor dem Bundesverwaltungsgericht [VGKE, SR 173.320.2]). Der in gleicher Höhe geleistete Kostenvorschuss ist zur Bezahlung der Verfahrenskosten zu verwenden.</w:t>
      </w:r>
    </w:p>
    <w:p>
      <w:r>
        <w:rPr>
          <w:b/>
        </w:rPr>
        <w:t>E. 10.2</w:t>
      </w:r>
    </w:p>
    <w:p>
      <w:r>
        <w:t>Eine Parteientschädigung ist angesichts des Ausgangs des Verfahrens nicht zuzusprechen (vgl. Art. 64 Abs. 1 VwVG e contrario und Art. 7 Abs. 1 VGKE e contrario sowie Art. 7 Abs. 3 VGKE; vgl. Urteil des BVGer F-1315/2021 vom 25. August 2021 E. 6.2).</w:t>
      </w:r>
    </w:p>
    <w:p>
      <w:r>
        <w:rPr>
          <w:b/>
        </w:rPr>
        <w:t>E. 11</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