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F-6022/2018 vom 30. September 2019</w:t>
      </w:r>
    </w:p>
    <w:p>
      <w:r>
        <w:t>Bundesverwaltungsgericht, 2019-09-30, FR</w:t>
      </w:r>
    </w:p>
    <w:p>
      <w:r>
        <w:rPr>
          <w:b/>
        </w:rPr>
        <w:t xml:space="preserve">Quelle: </w:t>
      </w:r>
      <w:r>
        <w:t>https://mcp.opencaselaw.ch/entscheid/bvger_F-6022_2018</w:t>
      </w:r>
    </w:p>
    <w:p>
      <w:r>
        <w:t>FR: TAF F-6022/2018 du 30 septembre 2019</w:t>
      </w:r>
    </w:p>
    <w:p>
      <w:r>
        <w:t>IT: TAF F-6022/2018 del 30 settembre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(dans le même sens, cf. ATF 135 II 384 consid. 2.3), et de les citer selon cette teneur. Il en va de même en ce qui concerne l'OASA (cf., pour plus de développements, arrêt du TAF F-1061/2018 du 11 mars 2019 consid. 2).</w:t>
      </w:r>
    </w:p>
    <w:p>
      <w:r>
        <w:rPr>
          <w:b/>
        </w:rPr>
        <w:t>E. 4</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4.1</w:t>
      </w:r>
    </w:p>
    <w:p>
      <w:r>
        <w:t>Selon l'art. 67 al. 2 LEtr, le SEM peut notamment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4.2</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le Message précité,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4.3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5</w:t>
      </w:r>
    </w:p>
    <w:p>
      <w:r>
        <w:t>Il convient d'examiner, en premier lieu, si le prononcé d'une interdiction d'entrée est justifié dans son principe. L'autorité de première instance a prononcé une interdiction d'entrée d'une durée de deux ans à l'endroit du recourant, sur la base de sa condamnation du 15 mai 2017 pour entrée et séjour illégaux. Dans son mémoire de recours, l'intéressé a estimé qu'il n'avait été condamné ni pour des infractions graves, ni pour des faits répétés, de sorte que l'application de l'art. 62 al. 2 LEtr n'était pas justifiée. Il a en outre indiqué qu'il allait, à très brève échéance, déposer une demande d'autorisation de séjour en raison de son mariage prochain avec une ressortissante française au bénéfice d'une autorisation de séjour en Suisse. Au vu de ces éléments, il a également estimé que la décision d'interdiction d'entrée du 16 janvier 2018 était disproportionnée.</w:t>
      </w:r>
    </w:p>
    <w:p>
      <w:r>
        <w:rPr>
          <w:b/>
        </w:rPr>
        <w:t>E. 5.1</w:t>
      </w:r>
    </w:p>
    <w:p>
      <w:r>
        <w:t>Le Tribunal rappelle tout d'abord qu'il existe deux régimes juridiques différents concernant le prononcé des interdictions d'entrée, selon que l'intéressé est ressortissant d'un Etat de l'Union européenne ou de l'AELE, ou d'un Etat tiers. En l'occurrence, l'intéressé est un ressortissant colombien, soit originaire d'un Etat tiers, de sorte que le prononcé querellé s'examine à l'aune de la LEtr, les dispositions de l'ALCP (RS 0.142.112.681) n'étant pas applicables au cas d'espèce. Or, selon le Tribunal fédéral, un étranger ressortissant d'un pays tiers n'a pas besoin d'avoir atteint de manière grave l'ordre et la sécurité publics avant de pouvoir se voir interdire d'entrée en Suisse sur la base du seul art. 67 LEtr (cf. ATF 139 II 121 consid. 5).</w:t>
      </w:r>
    </w:p>
    <w:p>
      <w:r>
        <w:rPr>
          <w:b/>
        </w:rPr>
        <w:t>E. 5.2</w:t>
      </w:r>
    </w:p>
    <w:p>
      <w:r>
        <w:t>En l'état, le Tribunal retient que le recourant a été condamné par ordonnance du Ministère public de l'arrondissement de La Côte du 15 mai 2017 à une peine pécuniaire de vingt jours-amende à Fr. 30.-, avec sursis pendant deux ans, ainsi qu'à une amende de Fr. 150.- pour entrée et séjour illégaux. Cette ordonnance pénale est entrée en force puisque le recourant n'y a pas fait opposition. Il n'a d'ailleurs pas non plus contesté ces faits devant le Tribunal de céans. A ce stade, il s'impose donc de retenir que le recourant, par son comportement délictueux, a attenté à la sécurité et à l'ordre publics en Suisse, de sorte qu'il remplit les conditions d'application de l'art. 67 al. 2 let. a LEtr. En conséquence, la mesure d'interdiction d'entrée prononcée le 16 janvier 2018 est justifiée dans son principe.</w:t>
      </w:r>
    </w:p>
    <w:p>
      <w:r>
        <w:rPr>
          <w:b/>
        </w:rPr>
        <w:t>E. 5.3</w:t>
      </w:r>
    </w:p>
    <w:p>
      <w:r>
        <w:t>Dans la mesure où la durée de l'interdiction d'entrée n'est pas supérieure à cinq ans, il ne s'avère pas nécessaire d'examiner si le recourant représente en sus une menace qualifiée au sens de l'art. 67 al. 3 deuxième phrase LEtr pour l'ordre et la sécurité publics en Suisse.</w:t>
      </w:r>
    </w:p>
    <w:p>
      <w:r>
        <w:rPr>
          <w:b/>
        </w:rPr>
        <w:t>E. 6</w:t>
      </w:r>
    </w:p>
    <w:p>
      <w:r>
        <w:t>Cela étant, il convient encore d'examiner si la mesure d'éloignement, dont la durée a été fixée par l'autorité de première instance à deux ans, satisfait aux principes généraux de procédure, en particulier à celui de la proportionnalité.</w:t>
      </w:r>
    </w:p>
    <w:p>
      <w:r>
        <w:rPr>
          <w:b/>
        </w:rPr>
        <w:t>E. 6.1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6.2</w:t>
      </w:r>
    </w:p>
    <w:p>
      <w:r>
        <w:t>En l'espèce, s'agissant de l'intérêt public à l'éloignement du recourant de Suisse, le Tribunal observe que les motifs retenus à l'appui de la mesure d'éloignement prise à l'endroit du recourant ne sauraient être contestés (cf. consid. 5.2 supra). L'infraction aux prescriptions de police des étrangers ainsi perpétrée, ayant de surcroît fait l'objet d'une ordonnance pénale entrée en force de chose jugée, doit être qualifiée de grave (cf. consid. 4.2 supra). Au demeurant,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L'interdiction d'entrée est dès lors apte et nécessaire pour empêcher un étranger ne bénéficiant pas d'autorisation idoine d'entrer et de séjourner illégalement sur le territoire suisse. Il ressort par ailleurs des pièces au dossier que le recourant a continué de séjourner illégalement en Suisse (cf. mémoire de recours du 22 octobre 2018 p. 2 ad. III N 3), alors qu'il aurait eu l'obligation de quitter le territoire helvétique et d'attendre à l'étranger la décision sur sa demande d'autorisation de séjour (art. 17 al. 1 LEtr ; cf. également ATF 139 I 37 consid. 2.1). Au vu des infractions retenues contre le recourant et sa persistance à ne pas respecter l'ordre juridique, l'intérêt public à son éloignement de Suisse doit être qualifié d'important.</w:t>
      </w:r>
    </w:p>
    <w:p>
      <w:r>
        <w:rPr>
          <w:b/>
        </w:rPr>
        <w:t>E. 6.3</w:t>
      </w:r>
    </w:p>
    <w:p>
      <w:r>
        <w:t>Quant aux intérêts privés avancés par l'intéressé, soit la procédure de mariage avec une ressortissante de l'UE et d'octroi d'une autorisation de séjour entamée en Suisse, il suffit de relever qu'il a lui-même indiqué que ce projet avait été abandonné. N'ayant fait valoir aucun autre intérêt privé à pouvoir entrer sur le territoire suisse, l'intérêt public à son éloignement s'avère être prépondérant.</w:t>
      </w:r>
    </w:p>
    <w:p>
      <w:r>
        <w:rPr>
          <w:b/>
        </w:rPr>
        <w:t>E. 6.4</w:t>
      </w:r>
    </w:p>
    <w:p>
      <w:r>
        <w:t>Partant, le Tribunal arrive à la conclusion que la mesure d'éloignement prise par l'autorité inférieure le 16 janvier 2018 est nécessaire et adéquate afin de prévenir toute nouvelle atteinte à la sécurité et à l'ordre publics en Suisse. En outre, la durée de la mesure respecte le principe de proportionnalité et correspond à celle prononcée dans des cas analogues (cf., par exemple, arrêts du TAF F-6407/2017 du 29 juillet 2019 et F-2552/2016 du 3 mai 2018).</w:t>
      </w:r>
    </w:p>
    <w:p>
      <w:r>
        <w:rPr>
          <w:b/>
        </w:rPr>
        <w:t>E. 6.5</w:t>
      </w:r>
    </w:p>
    <w:p>
      <w:r>
        <w:t>Enfin, le Tribunal constate, au vu des développements ci-dessus, qu'il n'existe pas de raisons humanitaires ou d'autres motifs importants justifiant l'abstention ou la suspension de la mesure d'éloignement au sens de l'art. 67 al. 5 LEtr.</w:t>
      </w:r>
    </w:p>
    <w:p>
      <w:r>
        <w:rPr>
          <w:b/>
        </w:rPr>
        <w:t>E. 7</w:t>
      </w:r>
    </w:p>
    <w:p>
      <w:r>
        <w:t>Le SEM a par ailleurs ordonné l'inscription de l'interdiction d'entrée dans le SIS. En raison de ce signalement, il est interdit au recourant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7.2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8.1</w:t>
      </w:r>
    </w:p>
    <w:p>
      <w:r>
        <w:t>Au vu de ce qui précède, le Tribunal de céans considère que l'autorité inférieure, en rendant sa décision du 16 janvier 2018, n'a ni violé le droit fédéral, ni constaté des faits pertinents de manière inexacte ou incomplète ; en outre, cette décision n'est pas inopportune (art. 49 PA). En conséquence,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