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F-6021/2024 vom 1. Oktober 2024</w:t>
      </w:r>
    </w:p>
    <w:p>
      <w:r>
        <w:t>Bundesverwaltungsgericht, 2024-10-01, DE</w:t>
      </w:r>
    </w:p>
    <w:p>
      <w:r>
        <w:rPr>
          <w:b/>
        </w:rPr>
        <w:t xml:space="preserve">Quelle: </w:t>
      </w:r>
      <w:r>
        <w:t>https://mcp.opencaselaw.ch/entscheid/bvger_F-6021_2024</w:t>
      </w:r>
    </w:p>
    <w:p>
      <w:r>
        <w:t>FR: TAF F-6021/2024 du 1 octobre 2024</w:t>
      </w:r>
    </w:p>
    <w:p>
      <w:r>
        <w:t>IT: TAF F-6021/2024 del 1 ottobre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1.3</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w:t>
      </w:r>
    </w:p>
    <w:p>
      <w:r>
        <w:t>In formeller Hinsicht rügen die Beschwerdeführenden, dass die Vorinstanz ihre Pflicht zur vollständigen und richtigen Sachverhaltsermittlung sowie ihre Begründungspflicht - und damit den Anspruch der Beschwerdeführenden auf rechtliches Gehör - verletzt habe (Art. 12 VwVG i.V.m. Art. 6 AslyG, Art. 29 VwVG). Die Vorinstanz habe nicht genügend abgeklärt, ob der Beschwerdeführer an einer (...) leide. Das SEM hat sich indes intensiv mit den Vorbringen der Beschwerdeführenden auseinandergesetzt. Ihr Gesundheitszustand ist ausführlich dokumentiert und die Vorinstanz hat dazu Stellung genommen (vgl. SEM-act. 58/20, S. 8-12). Insgesamt hat das SEM allen relevanten Sachverhaltselementen Rechnung getragen und mittels einer Einzelfallprüfung hinreichend nachvollziehbar begründet, von welchen Überlegungen es sich, gerade auch in individueller Hinsicht, bei seinem Entscheid leiten liess. Die formellen Rügen der Beschwerdeführenden sind unbegründet und das diesbezügliche Eventualbegehren ist abzuweisen.</w:t>
      </w:r>
    </w:p>
    <w:p>
      <w:r>
        <w:rPr>
          <w:b/>
        </w:rPr>
        <w:t>E. 5.1</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5.2</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w:t>
      </w:r>
    </w:p>
    <w:p>
      <w:r>
        <w:rPr>
          <w:b/>
        </w:rPr>
        <w:t>E. 5.3</w:t>
      </w:r>
    </w:p>
    <w:p>
      <w:r>
        <w:t>Ein Abgleich der Fingerabdrücke der Beschwerdeführenden ergab, dass sie am 25. Oktober 2023 in Kroatien daktyloskopisch erfasst worden waren. Gleichentags stellten sie gemäss Auszug aus der «Eurodac»-Datenbank ihre Asylgesuche. Die kroatischen Behörden stimmten dem Wiederaufnahmeersuchen der Vorinstanz gestützt auf Art. 20 Abs. 5 Dublin-III-VO zu. Somit sind sowohl die Antragsstellung in Kroatien als auch der Umstand, dass das kroatische Verfahren zur Bestimmung des für das Asylgesuch der Beschwerdeführenden zuständigen Mitgliedstaats gemäss Art. 20 Abs. 5 Dublin-III-VO noch nicht abgeschlossen wurde, als erstellt zu betrachten mit der Folge, dass das Verfahren nach einer Rücküberstellung der Beschwerdeführenden fortgesetzt wird. Die Zuständigkeit Kroatiens ist grundsätzlich gegeben.</w:t>
      </w:r>
    </w:p>
    <w:p>
      <w:r>
        <w:rPr>
          <w:b/>
        </w:rPr>
        <w:t>E. 6.1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6.2</w:t>
      </w:r>
    </w:p>
    <w:p>
      <w:r>
        <w:t>Die Beschwerdeführenden machen geltend, ihre Asylgesuche würden in Kroatien höchstwahrscheinlich nicht oder nicht ordentlich geprüft. Die kroatischen Behörden hätten gegenüber den Beschwerdeführenden physische und psychische Gewalt angewendet. Folglich könne Kroatien nicht als sicherer Drittstaat für Asylsuchende verstanden werden. Gemäss ständiger Rechtsprechung des Bundesverwaltungsgerichts weisen das Asylverfahren und die Aufnahmebedingungen in Kroatien keine systemischen Schwachstellen im Sinne von Art. 3 Abs. 2 zweiter und dritter Satz Dublin-III-VO auf (Referenzurteil des BVGer E-1488/2020 vom 22. März 2023 E. 9.5). Demnach sind Dublin-Überstellungen nach Kroatien grundsätzlich sowohl in "take-charge" (Aufnahme) als auch in "take-back" (Wiederaufnahme) Verfahren zulässig.</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darf das Bundesverwaltungsgericht sein eigenes Ermessen nicht anstelle desjenigen des SEM setzen (BVGE 2015/9 E. 7.6 und E. 8.1 in fine).</w:t>
      </w:r>
    </w:p>
    <w:p>
      <w:r>
        <w:rPr>
          <w:b/>
        </w:rPr>
        <w:t>E. 7.2</w:t>
      </w:r>
    </w:p>
    <w:p>
      <w:r>
        <w:t>Die Beschwerdeführenden führen aus, der Beschwerdeführer sei aufgrund der im Jahr 2019 erfolgten (Operation) auf eine kontinuierliche medizinische Versorgung angewiesen, wobei Kroatien an systemischen Mängeln im Gesundheitssektor leide. Die Beschwerdeführenden vermögen jedoch nicht darzutun, dass die sie bei einer Rückführung nach Kroatien zu erwartenden Bedingungen derart schlecht sind, dass sie zu einer Verletzung von Art. 3 EMRK führen könnten. Es bestehen auch - entgegen ihrer Befürchtungen - keine Gründe für die Annahme, Kroatien werde den Grundsatz des Non-Refoulement missachten und sie zur Ausreise in ein Land zwingen, in dem ihr Leib, ihr Leben oder ihre Freiheit aus einem Grund nach Art. 3 Abs. 1 AsylG gefährdet sind oder in dem sie Gefahr laufen würden, zur Ausreise in ein solches Land gezwungen zu werden. Bei einer allfälligen vorübergehenden Einschränkung der ihnen zustehenden Aufnahmebedingungen könnten sie sich im Übrigen nötigenfalls an die kroatischen Behörden wenden und ihre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der kroatischen Polizei und der kroatischen Grenzbehörden. Des Weiteren steht ihnen die Möglichkeit offen, die vor Ort tätigen karitativen Organisationen zu kontaktieren.</w:t>
      </w:r>
    </w:p>
    <w:p>
      <w:r>
        <w:rPr>
          <w:b/>
        </w:rPr>
        <w:t>E. 7.3</w:t>
      </w:r>
    </w:p>
    <w:p>
      <w:r>
        <w:t>Letztlich kann davon ausgegangen werden, dass eine Überstellung nach Kroatien keine ernsthafte Gefährdung der Gesundheit des Beschwerdeführers zur Folge hätte. Die von ihm geltend gemachten psychischen und vor allem physischen Probleme sollten einer Behandlung in Kroatien zugänglich sein. Nach aktuellem Arztbericht konnte er sich von der Suizidalität distanzieren und ist absprachefähig; hinsichtlich der (...) konnten keine besonderen Komplikationen festgestellt werden (vgl. SEM-act. 59/7), weshalb er aus der stationären Behandlung entlassen werden konnte.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Wie das Bundesverwaltungsgericht festgestellt hat, verfügt Kroatien aktuell über eine ausreichende, für sämtliche Dublin-Rückkehrende hinreichend zugängliche medizinische Infrastruktur (vgl. Referenzurteil E-1488/2020 E. 10.2 und E. 10.3; Urteil des BVGer F-4895/2024 vom 12. August 2024), sodass allgemein davon ausgegangen werden darf, Betroffene erhalten Zugang zur nötigen Unterstützung. Folglich droht keine Verletzung von Art. 3 EMRK. Weder ist die Schweiz völkerrechtlich verpflichtet, auf das Asylgesuch einzutreten, noch sind humanitäre Gründe ersichtlich, welche einen Selbsteintritt nahelegen würden.</w:t>
      </w:r>
    </w:p>
    <w:p>
      <w:r>
        <w:rPr>
          <w:b/>
        </w:rPr>
        <w:t>E. 8</w:t>
      </w:r>
    </w:p>
    <w:p>
      <w:r>
        <w:t>Bezüglich der Reisefähigkeit sowie der Durchführung der Überstellung (Art. 31 und Art. 32 Dublin-III-VO) wird der Gesundheitszustand der zu überstellenden Person jeweils kurz vor der Überstellung berücksichtigt. Die mit dem Vollzug der angefochtenen Verfügung beauftragten schweizerischen Behörden sind aber anzuweisen, die kroatischen Behörden in geeigneter Weise und vorgängig über die spezifischen medizinischen Umstände zu informieren (vgl. Art. 31 f. Dublin-III-VO). Angesichts dessen besteht keine Veranlassung, bei den kroatischen Behörden eine individuelle und konkrete Garantieerklärung im Sinne des subeventualiter gestellten Rechtsbegehrens abzuholen. Der Subeventualantrag wird abgewiesen.</w:t>
      </w:r>
    </w:p>
    <w:p>
      <w:r>
        <w:rPr>
          <w:b/>
        </w:rPr>
        <w:t>E. 9</w:t>
      </w:r>
    </w:p>
    <w:p>
      <w:r>
        <w:t>Die Vorinstanz ist zu Recht auf das Asylgesuch des Beschwerdeführers nicht eingetreten und hat die Wegweisung nach Kroatien angeordnet.</w:t>
      </w:r>
    </w:p>
    <w:p>
      <w:r>
        <w:rPr>
          <w:b/>
        </w:rPr>
        <w:t>E. 10</w:t>
      </w:r>
    </w:p>
    <w:p>
      <w:r>
        <w:t>Nach dem Gesagten ist die Beschwerde abzuweisen. Mit dem vorliegenden Urteil fällt der angeordnete superprovisorische Vollzugsstopp dahin. Das Gesuch um Erteilung der aufschiebenden Wirkung ist gegenstandslos geworden.</w:t>
      </w:r>
    </w:p>
    <w:p>
      <w:r>
        <w:rPr>
          <w:b/>
        </w:rPr>
        <w:t>E. 11.1</w:t>
      </w:r>
    </w:p>
    <w:p>
      <w:r>
        <w:t>Die Begehren erweisen sich als aussichtslos, weshalb das Gesuch um unentgeltliche Prozessführung (Art. 65 Abs. 1 VwVG) abzuweisen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