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F-6017/2024 vom 2. Oktober 2024</w:t>
      </w:r>
    </w:p>
    <w:p>
      <w:r>
        <w:t>Bundesverwaltungsgericht, 2024-10-02, DE</w:t>
      </w:r>
    </w:p>
    <w:p>
      <w:r>
        <w:rPr>
          <w:b/>
        </w:rPr>
        <w:t xml:space="preserve">Quelle: </w:t>
      </w:r>
      <w:r>
        <w:t>https://mcp.opencaselaw.ch/entscheid/bvger_F-6017_2024</w:t>
      </w:r>
    </w:p>
    <w:p>
      <w:r>
        <w:t>FR: TAF F-6017/2024 du 2 octobre 2024</w:t>
      </w:r>
    </w:p>
    <w:p>
      <w:r>
        <w:t>IT: TAF F-6017/2024 del 2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im Grundsatz (vgl. E. 2.4)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Kroatien für die Behandlung der Asylgesuche der Beschwerdeführenden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Beschwerdeführenden in Hinblick auf die Erlebnisse in Kroatien im Zusammenhang mit der Stellung der Asylanträge sowie deren dokumentierten Gesundheitszustand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den Beschwerdeführenden in Kroatien der Zugang zur benötigten medizinischen Behandlung offensteht. Sie ist demnach zu Recht in Anwendung von Art. 31a Abs. 1 Bst. b AsylG auf die Asylgesuche der Beschwerdeführenden nicht eingetreten und hat in Anwendung von Art. 44 AsylG deren Wegweisung nach Kroatien angeordnet. Zur näheren Begründung wird auf die vorinstanzlichen Erwägungen verwiesen.</w:t>
      </w:r>
    </w:p>
    <w:p>
      <w:r>
        <w:rPr>
          <w:b/>
        </w:rPr>
        <w:t>E. 2.2</w:t>
      </w:r>
    </w:p>
    <w:p>
      <w:r>
        <w:t>Was die Beschwerdeführenden auf Rechtsmittelebene vorbringen, vermag daran nichts zu ändern. Soweit mit der Gefahr einer Kettenabschiebung argumentiert wird, ist darauf hinzuweisen,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w:t>
      </w:r>
    </w:p>
    <w:p>
      <w:r>
        <w:rPr>
          <w:b/>
        </w:rPr>
        <w:t>E. 2.3</w:t>
      </w:r>
    </w:p>
    <w:p>
      <w:r>
        <w:t>Auch die formelle Rüge der Beschwerdeführenden, wonach die Vorinstanz ihre Untersuchungspflicht insbesondere in Bezug auf den medizinischen Sachverhalt verletzt habe, erweist sich als unbegründet. Die Vorinstanz hat ihren Entscheid auf einen genügend abgeklärten Sachverhalt gestützt, weshalb keine Veranlassung besteht, die angefochtene Verfügung zu kassieren.</w:t>
      </w:r>
    </w:p>
    <w:p>
      <w:r>
        <w:rPr>
          <w:b/>
        </w:rPr>
        <w:t>E. 2.4</w:t>
      </w:r>
    </w:p>
    <w:p>
      <w:r>
        <w:t>Weiter sind den Akten keine Anhaltspunkte zu entnehmen, welche es vorliegend offensichtlich als notwendig erscheinen liessen, von den kroatischen Behörden vorab individuelle Zusicherungen hinsichtlich der medizinischen Versorgung sowie des Zugangs zu adäquater Unterbringung einzuholen. In der angefochtenen Verfügung wurde insbesondere bereits darauf hingewiesen, die kroatischen Behörden würden gestützt auf Art. 31 und 32 Dublin-III-VO vorab über den Gesundheitszustand der Beschwerdeführenden informiert. Das entsprechende Subeventualbegehren ist diesbezüglich abzuweisen. Soweit darin beantragt wird, die Vorinstanz sei anzuweisen, die Ausstellung eines Einreiseverbots zu unterlassen, ist darauf mit Blick auf den Anfechtungsgegenstand nicht einzutreten.</w:t>
      </w:r>
    </w:p>
    <w:p>
      <w:r>
        <w:rPr>
          <w:b/>
        </w:rPr>
        <w:t>E. 3</w:t>
      </w:r>
    </w:p>
    <w:p>
      <w:r>
        <w:t>Nach dem Gesagten ist die angefochtene Verfügung nicht zu beanstanden und die Beschwerde ist abzuweisen, soweit darauf einzutreten ist.</w:t>
      </w:r>
    </w:p>
    <w:p>
      <w:r>
        <w:rPr>
          <w:b/>
        </w:rPr>
        <w:t>E. 4</w:t>
      </w:r>
    </w:p>
    <w:p>
      <w:r>
        <w:t>Mit vorliegendem Urteil fällt der am 25. September 2024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