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F-6014/2023 vom 9. November 2023</w:t>
      </w:r>
    </w:p>
    <w:p>
      <w:r>
        <w:t>Bundesverwaltungsgericht, 2023-11-09, DE</w:t>
      </w:r>
    </w:p>
    <w:p>
      <w:r>
        <w:rPr>
          <w:b/>
        </w:rPr>
        <w:t xml:space="preserve">Quelle: </w:t>
      </w:r>
      <w:r>
        <w:t>https://mcp.opencaselaw.ch/entscheid/bvger_F-6014_2023</w:t>
      </w:r>
    </w:p>
    <w:p>
      <w:r>
        <w:t>FR: TAF F-6014/2023 du 9 novembre 2023</w:t>
      </w:r>
    </w:p>
    <w:p>
      <w:r>
        <w:t>IT: TAF F-6014/2023 del 9 novembre 2023</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3.1</w:t>
      </w:r>
    </w:p>
    <w:p>
      <w:r>
        <w:t>Die Beschwerdeführerin rügt zunächst, die Vorinstanz habe den medizinischen Sachverhalt unvollständig erhoben. Diese wäre dazu verpflichtet gewesen, alle bereits vorliegenden Arztberichte und denjenigen eines für den 21. November 2023 vorgesehenen Termins beim psychiatrischen Ambulatorium vor dem Sachentscheid einzuholen. Diese Rüge ist vorab zu beurteilen, da sie allenfalls geeignet wäre, eine Rückweisung der Sache an die Vorinstanz zu rechtfertigen (vgl. BGE 138 I 232 E. 5).</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BVGE 2008/43 E. 7.5.6; Benjamin Schindler, in: Kommentar zum VwVG, 2. Aufl. 2019, Art. 49 N. 29). Seine Grenze findet der Untersuchungsgrundsatz an der Mitwirkungspflicht der gesuchstellenden Person (Art. 8 AsylG, Art. 13 VwVG; EMARK 1995/18 S. 185 ff.)</w:t>
      </w:r>
    </w:p>
    <w:p>
      <w:r>
        <w:rPr>
          <w:b/>
        </w:rPr>
        <w:t>E. 3.3</w:t>
      </w:r>
    </w:p>
    <w:p>
      <w:r>
        <w:t>Im Dublin-Gespräch vom 8. Februar 2023 führte die Beschwerdeführerin aus, es gehe ihr gesundheitlich gut, sie leider aber unter Schlafproblemen (vgl. SEM-act. 14/3). Mit Auskunft vom 21. April 2023 informierte das Gesundheitspersonal des zuständigen Asylzentrums die Vorinstanz auf deren Nachfrage hin, dass sich die Beschwerdeführerin zwischen Ende Jahr 2022 und März 2023 einige Male bei ihnen gemeldet habe aufgrund von Beschwerden wie Obstipation, Fussschmerzen, Periodenschmerzen und Juckreiz (vgl. SEM-act. 20/2). In ihrer Beschwerde vom 2. Mai 2023 führt die Beschwerdeführerin aus, sie sei schwer traumatisiert und habe depressive Episoden (vgl. SEM-act. 32/34). Ein Bericht einer Kunsttherapeutin vom 25. August 2023 kommt zur gleichen Schlussfolgerung (vgl. SEM-act. 37/9). Im Dublin-Gespräch vom 2. Oktober 2023 erwähnt die Beschwerdeführerin wiederum, dass sie sich körperlich gut fühle, jedoch psychische Probleme habe und auf gynäkologische Abklärungen angewiesen sei (vgl. SEM-act. 42/3). Gestützt auf diese Angaben hat die Vorinstanz den medizinischen Sachverhalt als ausreichend erstellt erachtet.</w:t>
      </w:r>
    </w:p>
    <w:p>
      <w:r>
        <w:rPr>
          <w:b/>
        </w:rPr>
        <w:t>E. 3.4</w:t>
      </w:r>
    </w:p>
    <w:p>
      <w:r>
        <w:t>In diesem Zusammenhang ist darauf hinzuweisen, dass eine zwangsweise Rückweisung von Personen mit gesundheitlichen Problemen nur ganz ausnahmsweise einen Verstoss gegen Art. 3 EMRK darstellt.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Zudem geht das Bundesverwaltungsgericht davon aus, dass Kroatien über eine ausreichende medizinische Infrastruktur verfügt, einschliesslich Angebote für psychologische Betreuung (vgl. Urteil des BVGer D-2707/2023 vom 24. Oktober 2023 E. 9.3, m.H. zur aktuellen Situation).</w:t>
      </w:r>
    </w:p>
    <w:p>
      <w:r>
        <w:rPr>
          <w:b/>
        </w:rPr>
        <w:t>E. 3.5</w:t>
      </w:r>
    </w:p>
    <w:p>
      <w:r>
        <w:t>Mit Verweis auf die Mitwirkungspflicht der Beschwerdeführerin ist sodann folgendes anzumerken. Gemäss der Auskunft der Sozialkoordinatorinnen der Sozialregion Oberes Niederamt wurde für die Beschwerdeführerin am 18. September 2023 ein Termin bei einer Hausarztpraxis vereinbart (SEM-act. 47/3). Den Ausführungen in der Beschwerdeschrift entsprechend, fand zudem am 19. Oktober 2023 ein ärztlicher Termin bei der Praxis M._______ statt (BVGer-act. 1., Rz. 6). Die Beschwerdeführerin stellt in ihrer Beschwerdeschrift in Aussicht, diese Berichte nachzureichen. Aufgrund der Zeitabstände ist jedoch nicht nachvollziehbar, aus welchem Grund sie mithilfe ihrer Rechtsvertretung die entsprechenden Berichte nicht bereits vor dem Entscheid der Vorinstanz vom 25. Oktober 2023 bei dieser einreichte, und auch bis zum heutigen Tage nicht dem Gericht nachreichte. Durch dieses Unterlassen muss sie sich eine Verletzung ihrer Mitwirkungspflicht anrechnen lassen.</w:t>
      </w:r>
    </w:p>
    <w:p>
      <w:r>
        <w:rPr>
          <w:b/>
        </w:rPr>
        <w:t>E. 3.6</w:t>
      </w:r>
    </w:p>
    <w:p>
      <w:r>
        <w:t>Nach dem Gesagten ist die Vorinstanz ihrerseits nicht dafür zu beanstanden, darauf verzichtet zu haben, den Arztbericht der Hausarztpraxis einzuholen resp. mit ihrem Entscheid nicht bis nach dem vorgesehenen Termin beim psychiatrischen Ambulatorium zu warten. Aus den vorliegenden Informationen war ersichtlich, dass die gesundheitlichen Probleme der Beschwerdeführerin nicht von derartiger Schwere sind, dass sie die Unzulässigkeit der Wegweisung im Sinne der restriktiven Rechtsprechung zu rechtfertigen vermögen würden (vgl. bspw. Urteil des BVGer D-3385/2023 vom 28. Juli 2023 E. 7.3). Die Vorinstanz durfte daher zu Recht davon ausgehen, dass von den Arztberichten keine rechtserheblichen neuen Erkenntnisse zu erwarten waren (zur antizipierten Beweiswürdigung vgl. BGE 141 I 60 E. 3.3; 136 I 229 E. 5.3). Eine Verletzung des Untersuchungsgrundsatzes liegt somit nicht vor. Es besteht keine Veranlassung, die Sache zur Sachverhaltsfeststellung und Neubeurteilung an die Vorinstanz zurückzuweisen. Das Eventualbegehren ist abzuweisen. Entsprechend besteht auch für das Bundesverwaltungsgericht keine Notwendigkeit, weitere Abklärungen zu treffen oder weitere Arzttermine abzuwarten. Auf Beschwerdeebene werden schliesslich keine neuen medizinischen Erkenntnisse geltend gemacht.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2019 VI/7 E. 4-6; 2017 VI/5 E. 6.2 und 8.2.1).</w:t>
      </w:r>
    </w:p>
    <w:p>
      <w:r>
        <w:rPr>
          <w:b/>
        </w:rPr>
        <w:t>E. 4.3</w:t>
      </w:r>
    </w:p>
    <w:p>
      <w:r>
        <w:t>Nachdem die Beschwerdeführerin bereits am 23. November 2022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 Die Dublin-III-VO räumt asylsuchenden Personen kein Recht ein, den seinen Antrag prüfenden Staat auswählen zu können (vgl. BVGE 2010/45 E. 8.3). Die Zuständigkeit Kroatiens ist somit grundsätzlich gegeben.</w:t>
      </w:r>
    </w:p>
    <w:p>
      <w:r>
        <w:rPr>
          <w:b/>
        </w:rPr>
        <w:t>E. 4.4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das Asylgesuch «aus humanitären Gründen» auch dann behandelt werden, wenn dafür gemäss Dublin-III-VO ein anderer Staat zuständig wäre. Bei dieser Entscheidung kommt der Vorinstanz Ermessen zu; das Gericht darf sein eigenes Ermessen nicht an dessen Stelle setzen (BVGE 2015/9 E. 7.6 und E. 8.1 in fine).</w:t>
      </w:r>
    </w:p>
    <w:p>
      <w:r>
        <w:rPr>
          <w:b/>
        </w:rPr>
        <w:t>E. 5</w:t>
      </w:r>
    </w:p>
    <w:p>
      <w:r>
        <w:t>Gemäss Praxis des Bundesverwaltungsgerichts liegen zum heutigen Zeitpunkt keine konkreten Gründe für die Annahme vor, das Asylverfahren und die Aufnahmebedingungen in Kroatien würden systemische Schwachstellen im Sinne von Art. 3 Abs. 2 zweiter und dritter Satz Dublin-III-VO aufweisen. Laut dem koordinierten Referenzurteil des BVGer E-1488/2020 vom 22. März 2023, welches die seit dem Referenzurteil D-1611/2016 vom 22. März 2016 bestehende Praxis bestätigt, sind Dublin-Überstellungen nach Kroatien grundsätzlich sowohl in "take-charge" (Aufnahme) als auch in "take-back" (Wiederaufnahme) Verfahren zulässig. Die diesbezüglichen Vorbringen des Beschwerdeführers und die zitierten Berichte vermögen den dieser Rechtsprechung zugrundeliegenden Informationen zur Situation in Kroatien keine neue Dimension hinzuzufügen.</w:t>
      </w:r>
    </w:p>
    <w:p>
      <w:r>
        <w:rPr>
          <w:b/>
        </w:rPr>
        <w:t>E. 6</w:t>
      </w:r>
    </w:p>
    <w:p>
      <w:r>
        <w:t>Nachfolgend ist zu prüfen, ob die Vorinstanz das Selbsteintrittsrecht nach Art. 17 Abs. 1 erster Satz Dublin-III-VO und Art. 29a Abs. 3 AsylV 1 zu Recht nicht ausgeübt hat.</w:t>
      </w:r>
    </w:p>
    <w:p>
      <w:r>
        <w:rPr>
          <w:b/>
        </w:rPr>
        <w:t>E. 6.1</w:t>
      </w:r>
    </w:p>
    <w:p>
      <w:r>
        <w:t>Die Beschwerdeführerin führt an, sie habe in Kroatien bereits Menschenrechtsverletzungen erlebt und es würden ihr bei einer Überstellung dorthin erneut solche drohen. Sie sei insgesamt siebenmal von den kroatischen Behörden nach Bosnien zurückgebracht worden (Pushbacks). Die kroatische Polizei habe Tränengas gegen sie eingesetzt, sie verhört, ihr Mobiltelefon zerstört und sie geschlagen. Während einer Leibesvisitation durch einen männlichen Polizisten sei sie Opfer sexualisierter Gewalt geworden. Dieser Übergriff sei für sie traumatisierend gewesen und stelle unter anderem einen Verstoss gegen das Übereinkommen vom 18. Dezember 1979 zur Beseitigung jeder Form von Diskriminierungen der Frau (CEDAW; SR 0.108) dar. Die kroatischen Behörden würden keine Schutzvorkehrungen treffen, um Frauen im Rahmen der Unterbringung zu schützen. Die Beschwerdeführerin dürfe nicht in ein Land zurückgeschickt werden, in welchem ihre körperliche Unversehrtheit in Gefahr wäre und das Gebot des Non-Refoulement missachtet würde. Dabei verweist sie auf § 23 der General recommendation Nr. 32 vom 5. November 2014 on the gender-related dimensions of refugee status, asylum, nationality and statelessness of women (nachfolgend: GR No. 32), Art. 3 EMRK, Art. 1 des Übereinkommens vom 10. Dezember 1984 gegen Folter und andere grausame, unmenschliche oder erniedrigende Behandlung oder Strafe (FoK, SR 0.105) und weitere völkerrechtliche Verpflichtungen der Schweiz.</w:t>
      </w:r>
    </w:p>
    <w:p>
      <w:r>
        <w:rPr>
          <w:b/>
        </w:rPr>
        <w:t>E. 6.2</w:t>
      </w:r>
    </w:p>
    <w:p>
      <w:r>
        <w:t>Das Bundesverwaltungsgericht anerkannt zwar, dass das Verhalten der kroatischen Grenzbehörden und die Behandlung von Asylsuchenden im Rahmen der Erstaufnahme bis zur Gesuchstellung in Kroatien problematisch sein kann. Wie die Vorinstanz zutreffend festgehalten hat, lassen die von der Beschwerdeführerin geschilderten Erlebnisse in Kroatien - die im Übrigen nur teilweise belegt sind - aber nicht grundsätzlich darauf schliessen, dass sie im Rahmen einer gestützt auf die Dublin-III-VO erfolgenden Rückführung nach Kroatien erneut mit Misshandlungen und Gewalt zu rechnen hat oder die dort zu erwartenden Bedingungen derart schlecht sind, dass sie zu einer Verletzung der EMRK, der EU-Grundrechtecharta, der CEDAW oder der FoK führen könnten oder der Empfehlung von § 23 der GR Nr. 32 offensichtlich nicht entsprechen würden. Das Bundesverwaltungsgericht geht davon aus, dass sich die Beschwerdeführerin nach der Dublin-Rücküberstellung in einer anderen Situation als bei ihrer ersten Einreise nach Kroatien befinden wird (vgl. Referenzurteil des BVGer E-1488/2020 E. 9.4; Urteil D-3332/2023 vom 22. Juni 2023 E. 7.2 m.w.H.).</w:t>
      </w:r>
    </w:p>
    <w:p>
      <w:r>
        <w:rPr>
          <w:b/>
        </w:rPr>
        <w:t>E. 6.3</w:t>
      </w:r>
    </w:p>
    <w:p>
      <w:r>
        <w:t>Ferner bestehen auch unter Berücksichtigung der geltend gemachten tiefen Schutzquote in Kroatien keine Gründe für die Annahme, Kroatien werde die Beschwerdeführerin unter Missachtung des Grundsatzes des Non-Refoulement zur Ausreise in ein Land zwingen, in dem ihr Leib, ihr Leben oder ihre Freiheit aus einem Grund nach Art. 3 Abs. 1 AsylG gefährdet ist oder in dem sie Gefahr laufen würde, zur Ausreise in ein solches Land gezwungen zu werden (vgl. hierzu auch Referenzurteil des BVGer E-1488/2020). Sie hat auch die Möglichkeit, nach einem allfälligen ungerechtfertigten negativen Ausgang ihres Asylverfahrens eine Beschwerde einzureichen (vgl. Urteil des BVGer D-5707/2023 vom 24. Oktober 2023 E. 8.3).</w:t>
      </w:r>
    </w:p>
    <w:p>
      <w:r>
        <w:rPr>
          <w:b/>
        </w:rPr>
        <w:t>E. 6.4</w:t>
      </w:r>
    </w:p>
    <w:p>
      <w:r>
        <w:t>Des Weiteren liegen keine konkreten Anhaltspunkte vor, wonach die Gesundheit der Beschwerdeführerin bei einer Überstellung nach Kroatien ernsthaft gefährdet wäre. Die vorliegenden gesundheitlichen Probleme (vgl. E. 3.3) erweisen sich nicht als derart gravierend, dass von einer Überstellung nach Kroatien abzusehen ist (vgl. zur Rechtsprechung oben E. 3.4; Urteil des BVGer D-3385/2023 vom 28. Juli 2023 E. 7.3). Kroatien verfügt über eine ausreichende medizinische Infrastruktur (vgl. Urteil des BVGer D-735/2022 vom 28. Februar 2022 E. 6.7.3) und ist verpflichtet, Asylsuchenden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Die schweizerischen Behörden, die mit dem Vollzug der angefochtenen Verfügung beauftragt sind, haben dem aktuellen Gesundheitszustand der Beschwerdeführerin bei der Überstellung zudem Rechnung zu tragen, indem sie die dortigen Behörden im Sinne von Art. 31 und Art. 32 Dublin-III-VO vorgängig über notwendige medizinische Behandlungen informieren.</w:t>
      </w:r>
    </w:p>
    <w:p>
      <w:r>
        <w:rPr>
          <w:b/>
        </w:rPr>
        <w:t>E. 6.5</w:t>
      </w:r>
    </w:p>
    <w:p>
      <w:r>
        <w:t>Zusammenfassend ist festzuhalten, dass weder völkerrechtliche Vollzugshindernisse vorliegen,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die Beschwerdeführerin wiederaufzunehmen.</w:t>
      </w:r>
    </w:p>
    <w:p>
      <w:r>
        <w:rPr>
          <w:b/>
        </w:rPr>
        <w:t>E. 7</w:t>
      </w:r>
    </w:p>
    <w:p>
      <w:r>
        <w:t>Das SEM ist demnach zu Recht in Anwendung von Art. 31a Abs. 1 Bst. b AsylG auf das Asylgesuch der Beschwerdeführerin nicht eingetreten und hat eine Wegweisung angeordnet. Die Beschwerde ist abzuweisen.</w:t>
      </w:r>
    </w:p>
    <w:p>
      <w:r>
        <w:rPr>
          <w:b/>
        </w:rPr>
        <w:t>E. 8.1</w:t>
      </w:r>
    </w:p>
    <w:p>
      <w:r>
        <w:t>Mit dem Entscheid in der Hauptsache sind die Gesuche um Erteilung der aufschiebenden Wirkung der Beschwerde und um Verzicht auf die Erhebung eines Kostenvorschusses gegenstandslos geworden. Der am 2. November 2023 verfügte einstweilige Vollzugsstopp fällt mit dem vorliegenden Urteil dahin.</w:t>
      </w:r>
    </w:p>
    <w:p>
      <w:r>
        <w:rPr>
          <w:b/>
        </w:rPr>
        <w:t>E. 8.2</w:t>
      </w:r>
    </w:p>
    <w:p>
      <w:r>
        <w:t>Das Gesuch um Gewährung der unentgeltlichen Prozessführung (Art. 65 Abs. 1 VwVG) ist abzuweisen, da die Begehren - wie sich aus den vorstehenden Erwägungen ergibt - als offensichtlich aussichtslos zu bezeichnen sind.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