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F-6013/2023 vom 9. November 2023</w:t>
      </w:r>
    </w:p>
    <w:p>
      <w:r>
        <w:t>Bundesverwaltungsgericht, 2023-11-09, DE</w:t>
      </w:r>
    </w:p>
    <w:p>
      <w:r>
        <w:rPr>
          <w:b/>
        </w:rPr>
        <w:t xml:space="preserve">Quelle: </w:t>
      </w:r>
      <w:r>
        <w:t>https://mcp.opencaselaw.ch/entscheid/bvger_F-6013_2023</w:t>
      </w:r>
    </w:p>
    <w:p>
      <w:r>
        <w:t>FR: TAF F-6013/2023 du 9 novembre 2023</w:t>
      </w:r>
    </w:p>
    <w:p>
      <w:r>
        <w:t>IT: TAF F-6013/2023 del 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in formeller Hinsicht, die Vorinstanz sei ihrer Pflicht, seine gesundheitliche Situation hinreichend abzuklären und in den Erwägungen zu berücksichtigen, nicht nachgekommen. Dadurch liege eine Verletzung der Pflicht zur richtigen und vollständigen Sachverhaltsermittlung sowie des rechtlichen Gehörs (Begründungspflicht) vor. Diese formellen Rügen sind vorab zu beurteilen.</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Christoph Auer/Anja Martina Binder, in: Kommentar zum Bundesgesetz über das Verwaltungsverfahren, Christoph Auer/Markus Müller/Benjamin Schindler (Hrsg.), 2. Aufl. 2019, Rz. 16 zu Art. 12). Ihre Grenze findet die Untersuchungspflicht an der Mitwirkungspflicht der Asylsuchenden (vgl. Art. 8 AsylG). Wie den Akten entnommen werden kann, hat das SEM vor der Redaktion der angefochtenen Verfügung im Zusammenhang mit den vom Beschwerdeführer angeführten psychischen Problemen wiederholt bei der zuständigen Pflege um Auskünfte gebeten, um Zustellung von allfällig vorhandenen medizinischen Berichten und weiteren relevanten Informationen zu seinem Gesundheitszustand ersucht sowie deren Antworten abgewartet (vgl. SEM act. 1273026-25/2 [nachfolgend: act. 25]; SEM act. 1273026-26/2 [nachfolgend: act. 26]; SEM act. 1273026-28/2 [nachfolgend: act. 28]). Das SEM hat sich alsdann in seiner Verfügung mit dem Gesundheitszustand des Beschwerdeführers rechtsgenüglich auseinandergesetzt und dazu den medizinischen Sachverhalt gestützt auf seine Angaben im Dublin-Gespräch und die vorhandenen medizinischen Akten zusammengefasst. Weitere medizinische Abklärungen hielt das SEM zu Recht nicht für erforderlich. Mit Blick auf die Mitwirkungspflicht des Beschwerdeführers war das SEM - entgegen der in der Beschwerde vertretenen Ansicht - nicht gehalten, dem Grund für sein Nichterscheinen am psychiatrischen Folgetermin nachzugehen; überdies vermochte auch die Klinik dem SEM keinen Grund für das Nichterscheinen mitzuteilen (vgl. SEM act. 28). Ebenso bestand angesichts der Untersuchung seiner Person durch eine ärztliche Fachperson keine Notwendigkeit abzuklären, warum ihm - nebst einem weiteren Medikament - ein (Nennung Medikament) und nicht ein anderes Medikament verschrieben wurde. Das SEM verwies vielmehr in zutreffender Weise auf die ausreichende medizinische Infrastruktur in Kroatien und hielt fest, dass unter Berücksichtigung der gesundheitlichen Beeinträchtigungen des Beschwerdeführers nicht davon auszugehen sei, dass vorliegend die hohe Schwelle für eine drohende Verletzung von Art. 3 EMRK überschritten werde. Ob die Beurteilung der medizinischen Umstände korrekt erfolgt ist, beschlägt nicht das rechtliche Gehör, sondern die rechtliche Würdigung dieser Sachverhaltselemente.</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angefochtene Verfügung, Ziff. II S. 3 ff.). Dabei musste sie sich nicht ausdrücklich mit jeder tatbestandlichen Behauptung und jedem rechtlichen Einwand auseinandersetzen, sondern durfte sich auf die wesentlichen Gesichtspunkte beschränken (BGE 143 III 65 E. 5.2), was sie hier getan hat. So sind den Erörterungen der Vorinstanz Ausführungen zum Verhalten der kroatischen Grenzbehörden dem Beschwerdeführer gegenüber, zur Frage einer Kettenabschiebung und zu derjenigen des Vorliegens von systemischen Mängeln im kroatischen Asyl- und Aufnahmesystem, zu den Möglichkeiten des Beschwerdeführers, sich gegen unkorrektes Verhalten zu wehren sowie zu seinem Gesundheitszustand und den medizinischen Behandlungsmöglichkeiten in Kroatien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Beweismittel nicht teilt, ist keine Verletzung des rechtlichen Gehörs, sondern betrifft eine materielle Frage betreffend die Würdigung der vorgebrachten Überstellungshindernisse.</w:t>
      </w:r>
    </w:p>
    <w:p>
      <w:r>
        <w:rPr>
          <w:b/>
        </w:rPr>
        <w:t>E. 4.4</w:t>
      </w:r>
    </w:p>
    <w:p>
      <w:r>
        <w:t>Die formellen Rügen erweisen sich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Den Akten zufolge stellte der Beschwerdeführer am (...) in Kroatien ein Asylgesuch und wurde dort gleichentags daktyloskopiert (EURODAC-Abgleich vom 21. August 2023; vgl. Sachverhalt Bst. A.a). Daran vermag sein Hinweis, es seien ihm die Fingerabdrücke zwangsweise abgenommen worden, nichts zu ändern (vgl. SEM act. 1273026-18/2 [nachfolgend: act. 18] S. 1 f.). Die zuständigen kroatischen Behörden stimmten dem Wiederaufnahmeersuchen des SEM vom 28. August 2023 innert der massgeblichen Frist denn auch ausdrücklich zu. Damit sind sowohl die Antragsstellung in Kroatien als auch der Umstand als erstellt zu erachten, dass das kroatische Verfahren zur Bestimmung des für das Asylgesuch des Beschwerdeführers zuständigen Mitgliedstaates gemäss Art. 20 Abs. 5 Dublin-III-VO noch nicht abgeschlossen wurde und nach seiner Rücküberstellung fortgesetzt wird (vgl. auch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Im erwähnten Referenzurteil untersuchte das Gericht, ob angesichts der andauernden Berichte über unzulässige Push-Backs (direkt an der kroati-schen Grenze oder vom Inland aus) und der dabei praktizierten exzessiven Gewaltanwendung durch die kroatischen Behörden an dieser Rechtsprechung festgehalten werden kann. Gestützt auf eine umfassende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Im Ergebnis sei davon auszugehen, dass Gesuchstellende, welche gestützt auf die Dublin-III-VO nach Kroatien überstellt würden, Zugang zum dortigen Asylverfahren erhielten, eine angemessene Unterkunft und bei Bedarf Zugang zu medizinischer Versorgung bekommen würden (E. 10.3 ebenda). Es besteht somit auch unter Berücksichtigung kritischer Berichte nationaler und internationaler Organisationen sowie der diesbezüglich in der Rechtsmitteleingabe zitierten Quellenhinweise (vgl. S. 9 ff.) kein Grund, aus Anlass der vorliegenden Streitsache von dieser Beurteilung abzuweichen. Die nicht weiter belegten Ausführungen des Beschwerdeführers zu erlebter Polizeigewalt (...) und rassistischer Behandlung durch das Personal des Durchgangszentrums in Kroatien im Zusammenhang mit seiner illegalen Einreise (vgl. SEM act. 18 S. 2) sind nicht geeignet, die Annahme zu widerlegen, wonach Kroatien seinen völkerrechtlichen Verpflichtungen im Rahmen eines Asylverfahrens nachkomme (vgl. dazu Referenzurteil E-1488/2020 E. 8 und E. 9.5). Gegen das Fehlverhalten von einzelnen Polizeibeamten oder Angestellten einer Unterkunft für Asylsuchende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das geltend gemachte Verhalten seitens der kroatischen Behörden, das sich im Übrigen auf Vorkommnisse nach seiner illegalen Einreise und nicht auf den Aufenthalt in den dortigen Aufenthaltsstrukturen bezieht.</w:t>
      </w:r>
    </w:p>
    <w:p>
      <w:r>
        <w:rPr>
          <w:b/>
        </w:rPr>
        <w:t>E. 8.3.1</w:t>
      </w:r>
    </w:p>
    <w:p>
      <w:r>
        <w:t>Betreffend den Gesundheitszustand lässt sich den vorinstanzlichen Akten entnehmen, dass es dem Beschwerdeführer seinen Angaben im persönlichen Gespräch zufolge physisch gut gehe, er jedoch infolge der Erlebnisse an psychischen Beschwerden (...) leide. In seiner Heimat sei er wegen (Nennung Grund) medikamentös behandelt worden. Einem Arztbericht der (Nennung Institution) vom (...) zufolge liess er sich gleichentags wegen Belastungen nach einem Gespräch mit seinem Anwalt respektive der Angst vor einer Rückführung behandeln. Er habe deshalb vermehrte Suizidgedanken. Im Vordergrund stehe der Wunsch nach einer Wiederaufnahme einer Psychopharmakatherapie. Als Diagnosen wurden (Nennung Diagnosen) und es wurden ihm die Medikamente (...) verschrieben. Zudem wurde (Nennung Empfehlung) (vgl. SEM act. 1273026-22/1 [nachfolgend: act. 22]). Interne Abklärungen des SEM bei der zuständigen Pflege des BAZ ergaben, dass er den für den (Nennung Zeitpunkt) geplanten Folgetermin nicht wahrgenommen hat. Der Beschwerdeführer reichte auf Beschwerdeebene keinerlei medizinischen Unterlagen ein, bringt jedoch vor, die ihm verschriebenen Medikamente (...) würden bei (Nennung Leiden) und (Nennung weiteres Medikament) zur Behandlung von (Nennung Erkrankungen) angewendet. Zudem werde er von Suizidgedanken geplagt, weshalb eine eng betreute Psychotherapie dringend angezeigt erscheine.</w:t>
      </w:r>
    </w:p>
    <w:p>
      <w:r>
        <w:rPr>
          <w:b/>
        </w:rPr>
        <w:t>E. 8.3.2</w:t>
      </w:r>
    </w:p>
    <w:p>
      <w:r>
        <w:t>Die erwähnten medizinischen Probleme psychischer Art - wobei entgegen der in der Beschwerde aufgelisteten psychischen Beeinträchtigungen von fachärztlicher Seite ausschliesslich (Nennung Diagnose) diagnostiziert wurde - sind aufgrund der Aktenlage offensichtlich nicht derart schwerwiegend, dass davon ausgegangen werden müsste, der Beschwerdeführer könnte nicht auch in Kroatien adäquat behandelt werden, wo grundsätzlich eine durchaus ausreichende medizinische Infrastruktur zur Verfügung steht (vgl. insbes. Referenzurteil E-1488/2020 a.a.O. E. 10.2, statt vieler das Urteil BVGer E-2952/2023 vom 31. Mai 2023 E. 7.3, je m.w.H.). Die Mitglied-staaten sind denn auch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Auch unter Berücksichtigung des Hinweises in der Rechtsmitteleingabe auf allfällige Schwierigkeiten beim Zugang zu medizinischer Versorgung ist nicht davon auszugehen, dass Kroatien seinen Verpflichtungen im Rahmen der Dublin-III-VO in medizinischer Hinsicht in genereller Weise nicht nachkommen könnte beziehungsweise nicht nachkommen wollte. Namentlich "Médecins du Monde" sind nur eine von mehreren Stellen, welche die medizinische Betreuung von Asylsuchenden in Kroatien gewährleisten. Neben den staatlichen Stellen unterstützt insbesondere auch das Kroatische Rote Kreuz vulnerable Asylsuchende, die in den Empfangszentren untergebracht sind (vgl. Urteile des BVGer E-3851/2023 vom 14. Juli 2023 E. 7.4.5 und D-1428/2023 vom 7. Juli 2023 E. 6.4.2, je m.w.H.)</w:t>
      </w:r>
    </w:p>
    <w:p>
      <w:r>
        <w:rPr>
          <w:b/>
        </w:rPr>
        <w:t>E. 8.3.3</w:t>
      </w:r>
    </w:p>
    <w:p>
      <w:r>
        <w:t>Der Beschwerdeführer macht weiter geltend, dass er von Suizidgedanken geplagt werde (vgl. Beschwerdeschrift Ziff. 26) respektive vermehrt Suizidgedanken habe (vgl. SEM act. 22). Gemäss bundesgerichtlicher Rechtsprechung stellt Suizidalität grundsätzlich kein Vollzugshindernis dar (vgl. BGE 139 II 393 E. 5.5.5). Dies entspricht auch der Praxis des Bundesverwaltungsgerichts (vgl. Urteile des BVGer E-317/2022 vom 10. Februar 2023 E. 7.3.2 und E-4782/2022 und E-4786/2022 vom 23. Februar 2023 E. 8.3.5 m.w.H.). Gemäss Praxis des EGMR ist der wegweisende Staat nicht verpflichtet, vom Vollzug der Ausweisung Abstand zu nehmen, falls die betroffenen Personen für den Fall des Vollzugs des Wegweisungsentscheides mit Suizid drohen. Die Überstellung verstösst nicht gegen Art. 3 EMRK, wenn der wegweisende Staat Massnahmen ergreift, um die Umsetzung einer entsprechenden Suiziddrohung zu verhindern (vgl. EGMR i.S. Dragan und andere gegen Deutschland vom 7. Oktober 2004, Nr. 33743/03, angeführt in EMARK 2005 Nr. 23 E. 5.1; sowie bspw. Urteil des BVGer D-1017/2021 vom 21. April 2021 E. 7.4.2.3 ff.). Allfälligen suizidalen Tendenzen des Beschwerdeführers wäre daher mit entsprechenden Massnahmen bei der Vollzugsorganisation Rechnung zu tragen.</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2. November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