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F-6011/2018 vom 7. Juli 2020</w:t>
      </w:r>
    </w:p>
    <w:p>
      <w:r>
        <w:t>Bundesverwaltungsgericht, 2020-07-07, FR</w:t>
      </w:r>
    </w:p>
    <w:p>
      <w:r>
        <w:rPr>
          <w:b/>
        </w:rPr>
        <w:t xml:space="preserve">Quelle: </w:t>
      </w:r>
      <w:r>
        <w:t>https://mcp.opencaselaw.ch/entscheid/bvger_F-6011_2018</w:t>
      </w:r>
    </w:p>
    <w:p>
      <w:r>
        <w:t>FR: TAF F-6011/2018 du 7 juillet 2020</w:t>
      </w:r>
    </w:p>
    <w:p>
      <w:r>
        <w:t>IT: TAF F-6011/2018 del 7 luglio 2020</w:t>
      </w:r>
    </w:p>
    <w:p>
      <w:pPr>
        <w:pStyle w:val="Heading2"/>
      </w:pPr>
      <w:r>
        <w:t>Regeste</w:t>
      </w:r>
    </w:p>
    <w:p>
      <w:r>
        <w:t>Interdiction d'entrée</w:t>
      </w:r>
    </w:p>
    <w:p>
      <w:pPr>
        <w:pStyle w:val="Heading2"/>
      </w:pPr>
      <w:r>
        <w:t>Erwägungen</w:t>
      </w:r>
    </w:p>
    <w:p>
      <w:r>
        <w:rPr>
          <w:b/>
        </w:rPr>
        <w:t>E. 9.1</w:t>
      </w:r>
    </w:p>
    <w:p>
      <w:r>
        <w:t>Sur le vu de ce qui précède, le Tribunal arrive à la conclusion que la mesure d'éloignement prise par l'autorité inférieure le 25 septembre 2018 est nécessaire et adéquate afin de prévenir toute nouvelle atteinte à la sécurité et à l'ordre publics en Suisse. Elle respecte - quand bien même l'on se trouve à la limite supérieure de la jurisprudence rendue en la matière - le principe d'égalité de traitement lorsqu'on la compare aux décisions prises par les autorités suisses dans des cas analogues (cf., à titre d'exemple, arrêts du TAF F-6140/2018 du 2 septembre 2019 et F-7153/2016 du 12 juillet 2018, dans lequel des infractions à la LEtr avaient également, à elles seules, justifié une mesure d'interdiction d'entrée de trois ans). Partant, la durée de l'interdiction d'entrée respecte le principe de la proportionnalité.</w:t>
      </w:r>
    </w:p>
    <w:p>
      <w:r>
        <w:rPr>
          <w:b/>
        </w:rPr>
        <w:t>E. 9.2</w:t>
      </w:r>
    </w:p>
    <w:p>
      <w:r>
        <w:t>Enfin, le Tribunal constate, au vu des développements ci-dessus, qu'il n'existe pas de raisons humanitaires ou d'autres motifs importants justifiant l'abstention ou la suspension de la mesure d'éloignement au sens de l'art. 67 al. 5 LEtr.</w:t>
      </w:r>
    </w:p>
    <w:p>
      <w:r>
        <w:rPr>
          <w:b/>
        </w:rPr>
        <w:t>E. 10</w:t>
      </w:r>
    </w:p>
    <w:p>
      <w:r>
        <w:t>Le SEM a par ailleurs ordonné l'inscription de l'interdiction d'entrée dans le SIS. En raison de ce signalement, il est interdit au recourant de pénétrer dans l'Espace Schengen.</w:t>
      </w:r>
    </w:p>
    <w:p>
      <w:r>
        <w:rPr>
          <w:b/>
        </w:rPr>
        <w:t>E. 10.1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w:t>
      </w:r>
    </w:p>
    <w:p>
      <w:r>
        <w:rPr>
          <w:b/>
        </w:rPr>
        <w:t>E. 10.2</w:t>
      </w:r>
    </w:p>
    <w:p>
      <w:r>
        <w:t>Le signalement dans le SIS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(art. 34 al. 2 et 3 SIS II).</w:t>
      </w:r>
    </w:p>
    <w:p>
      <w:r>
        <w:rPr>
          <w:b/>
        </w:rPr>
        <w:t>E. 10.3</w:t>
      </w:r>
    </w:p>
    <w:p>
      <w:r>
        <w:t>En l'occurrence, ce signalement au SIS est justifié par les faits retenus et satisfait au principe de la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(ATAF 2011/48 consid. 6.1). Cet état de fait n'empêche cependant pas les Etats membres d'autoriser l'entrée de l'intéressé sur leur territoire national, pour des motifs sérieux, voire de lui délivrer un visa à validité territoriale limitée, précisant que le recourant n'a fourni aucun document attestant d'un éventuel droit de séjour en Espagne ou dans l'un des Etats de l'Espace Schengen quand bien même, par ordonnance du 12 juin 2020, le Tribunal lui en a donné la possibilité.</w:t>
      </w:r>
    </w:p>
    <w:p>
      <w:r>
        <w:rPr>
          <w:b/>
        </w:rPr>
        <w:t>E. 11.1</w:t>
      </w:r>
    </w:p>
    <w:p>
      <w:r>
        <w:t>Au vu de ce qui précède, le Tribunal de céans considère que l'autorité inférieure, en rendant sa décision du 25 septembre 2018, n'a ni violé le droit fédéral, ni constaté des faits pertinents de manière inexacte ou incomplète ; en outre, cette décision n'est pas inopportune (art. 49 PA). En conséquence, le recours est rejeté.</w:t>
      </w:r>
    </w:p>
    <w:p>
      <w:r>
        <w:rPr>
          <w:b/>
        </w:rPr>
        <w:t>E. 11.2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