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F-6009/2025 vom 25. August 2025</w:t>
      </w:r>
    </w:p>
    <w:p>
      <w:r>
        <w:t>Bundesverwaltungsgericht, 2025-08-25, DE</w:t>
      </w:r>
    </w:p>
    <w:p>
      <w:r>
        <w:rPr>
          <w:b/>
        </w:rPr>
        <w:t xml:space="preserve">Quelle: </w:t>
      </w:r>
      <w:r>
        <w:t>https://mcp.opencaselaw.ch/entscheid/bvger_F-6009_2025</w:t>
      </w:r>
    </w:p>
    <w:p>
      <w:r>
        <w:t>FR: TAF F-6009/2025 du 25 août 2025</w:t>
      </w:r>
    </w:p>
    <w:p>
      <w:r>
        <w:t>IT: TAF F-6009/2025 del 25 agosto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 vorbehaltlich der nachfolgenden Erwägung 1.2 - einzutreten ist (Art. 48 Abs. 1 VwVG, Art. 108 Abs. 3 AsylG und Art. 52 Abs. 1 VwVG).</w:t>
      </w:r>
    </w:p>
    <w:p>
      <w:r>
        <w:rPr>
          <w:b/>
        </w:rPr>
        <w:t>E. 1.2</w:t>
      </w:r>
    </w:p>
    <w:p>
      <w:r>
        <w:t>Die angefochtene Verfügung umfasst einen Nichteintretens- und Wegweisungsentscheid. Soweit der Beschwerdeführer die Anerkennung als Flüchtling in der Schweiz oder eine vorläufige Aufnahme aufgrund von Unzulässigkeit respektive Unzumutbarkeit des Wegweisungsvollzugs begehrt, nimmt er eine unzulässige Erweiterung des Anfechtungsgegenstands vor (BVGE 2011/9 E. 5). Auf die entsprechenden Begehren ist nicht einzutreten. Das Feststellungsbegehren geht im Hauptbegehren auf, weshalb es (als Rüge) in diesem Rahmen zu behandeln ist.</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Deutschland für die Behandlung des Asylgesuchs des Beschwerdeführers zuständig ist, dass das deutsche Asylsystem rechtsprechungsgemäss keine systemischen Schwachstellen aufweist, aufgrund derer die Zuständigkeit gemäss Art. 3 Abs. 2 Dublin-III-VO auf die Schweiz überginge (vgl. jüngst statt vieler Urteile des BVGer F-5386/2025 vom 24. Juli 2025 E. 3.5 und F-4890/2025 vom 23. Juli 2023 E. 6; je m.w.H.), und dass vorliegend keine völkerrechtlichen Vollzugshindernisse ersichtlich sind, welche die Schweiz zu einem Selbsteintritt nach Art. 17 Abs. 1 Dublin-III-VO verpflichten würden. An dieser Einschätzung vermögen auch die vom Beschwerdeführer zitierten Quellen nichts zu ändern.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2.2</w:t>
      </w:r>
    </w:p>
    <w:p>
      <w:r>
        <w:t>Was der Beschwerdeführer auf Rechtsmittelebene vorbringt, vermag nichts an der Richtigkeit der angefochtenen Verfügung zu ändern. Soweit er die Angst vor einer Rückschiebung durch die deutschen Behörden nach Afghanistan geltend macht, ist nochmals darauf hinzuweisen, dass das deutsche Asylsystem rechtsprechungsgemäss keine systemischen Schwachstellen aufweist (vgl. E. 2.1 hiervor) und dass sich bei dieser Ausgangslage jegliche Weiterungen zur Einhaltung des Non-Refoulement-Gebots durch die deutschen Behörden erübrigen (einlässlich dazu Urteil des EuGH vom 30. November 2023, verbundene Rechtssachen C-228/21, C-254/21, C-297/21, C-315/21 und C-328/21, §§ 129-142 und Ziff. 2 des Dispositivs). Die vom Beschwerdeführer geltend gemachten physischen und psychischen Beeinträchtigungen (gemäss ärztlicher Bescheinigung (...) vom 21. September 2021 wurde damals eine posttraumatische Belastungsstörung mit depressivem und somatoformem Verlauf sowie eine mittelschwere depressive Episode diagnostiziert und gemäss medizinischem Datenblatt für interne Arztbesuche im BAZmV Basel vom 1. Juli 2025 leidet der Beschwerdeführer aktuell an chronischer Verstopfung, Schulter- und Knieschmerzen und hatte Blut im Urin) sind nicht derart schwerwiegend, dass aus humanitären Gründen oder gar wegen einer drohenden Verletzung von Art. 3 EMRK von einer Überstellung nach Deutschland abgesehen werden müsste. (vgl. dazu auch BVGE 2011/9 E. 7.1 m.w.H. und Urteil des EGMR Paposhvili gegen Belgien vom 13. Dezember 2016, Grosse Kammer, 41738/10, §§ 180-193; letzteres bestätigt durch Urteil des EGMR Savran gegen Dänemark vom 7. Dezember 2021, Grosse Kammer, 57467/15, §§ 121 ff.). Im Übrigen verfügt Deutschland zweifelsfrei über eine ausreichende medizinische Infrastruktur zur Versorgung der geltend gemachten physischen und psychischen Leiden (statt vieler: Urteil F-4890/2025 E. 7.3.2). Hinsichtlich der geltend gemachten Bedrohungen in Deutschland ist festzuhalten, dass keine Anhaltspunkte dafür bestehen, dass die deutschen Behörden nicht in der Lage wären, dem Beschwerdeführer den allenfalls benötigen Schutz zukommen zulassen. Deutschland ist ein Rechtsstaat mit einem funktionierenden Justizsystem. Das Land verfügt über Polizeibehörden, die schutzwillig und schutzfähig sind und deren Hilfe der Beschwerdeführer im Falle einer Bedrohung durch Dritte in Anspruch nehmen kann. Es ist daran zu erinnern, dass weder die Dublin-III-VO noch andere völkerrechtliche Bestimmungen den Gesuchstellenden ein Recht einräumen, den für die Durchführung des Asylverfahrens zuständigen Staat selber frei zu wählen (BVGE 2010/45 E. 8.3).</w:t>
      </w:r>
    </w:p>
    <w:p>
      <w:r>
        <w:rPr>
          <w:b/>
        </w:rPr>
        <w:t>E. 3</w:t>
      </w:r>
    </w:p>
    <w:p>
      <w:r>
        <w:t>Soweit der Beschwerdeführer eine Verletzung des rechtlichen Gehörs (Art. 29 Abs. 2 BV) - namentlich der Prüfungspflicht gemäss Art. 32 Abs. 1 VwVG - durch die Vorinstanz geltend macht, kann ihm nicht gefolgt werden. Die Vorinstanz hat seine Vorbringen geprüft und in ihren Entscheid einbezogen. Eine in diesem Zusammenhang gerügte Verletzung der Begründungspflicht (Art. 35 Abs. 1 VwVG) ist ebenfalls zu verneinen.</w:t>
      </w:r>
    </w:p>
    <w:p>
      <w:r>
        <w:rPr>
          <w:b/>
        </w:rPr>
        <w:t>E. 4</w:t>
      </w:r>
    </w:p>
    <w:p>
      <w:r>
        <w:t>Nach dem Gesagten ist die angefochtene Verfügung nicht zu beanstanden (Art. 106 AsylG) und die Beschwerde ist abzuweisen, soweit darauf einzutreten ist. Mit dem vorliegenden Urteil fällt der am 12. August 2025 angeordnete Vollzugsstopp dahin. Das Gesuch um Gewährung der aufschiebenden Wirkung der Beschwerde ist mit heutigem Entscheid gegenstandslos geworden.</w:t>
      </w:r>
    </w:p>
    <w:p>
      <w:r>
        <w:rPr>
          <w:b/>
        </w:rPr>
        <w:t>E. 5</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vgl. Urteil des BGer 2C_697/2023 vom 28. Dezember 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