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F-5982/2024 vom 9. Oktober 2024</w:t>
      </w:r>
    </w:p>
    <w:p>
      <w:r>
        <w:t>Bundesverwaltungsgericht, 2024-10-09, DE</w:t>
      </w:r>
    </w:p>
    <w:p>
      <w:r>
        <w:rPr>
          <w:b/>
        </w:rPr>
        <w:t xml:space="preserve">Quelle: </w:t>
      </w:r>
      <w:r>
        <w:t>https://mcp.opencaselaw.ch/entscheid/bvger_F-5982_2024</w:t>
      </w:r>
    </w:p>
    <w:p>
      <w:r>
        <w:t>FR: TAF F-5982/2024 du 9 octobre 2024</w:t>
      </w:r>
    </w:p>
    <w:p>
      <w:r>
        <w:t>IT: TAF F-5982/2024 del 9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2.3</w:t>
      </w:r>
    </w:p>
    <w:p>
      <w:r>
        <w:t>Im Falle eines unbegleiteten Minderjährigen ohne familiäre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BVGer E-6348/2023 vom 24. November 2023 E. 4.4 m.w.H.).</w:t>
      </w:r>
    </w:p>
    <w:p>
      <w:r>
        <w:rPr>
          <w:b/>
        </w:rPr>
        <w:t>E. 2.4</w:t>
      </w:r>
    </w:p>
    <w:p>
      <w:r>
        <w:t>Die Minderjährigkeit ist vom Betroffenen zumindest glaubhaft zu machen (vgl.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2.5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2.6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2.7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3.1</w:t>
      </w:r>
    </w:p>
    <w:p>
      <w:r>
        <w:t>Die Vorinstanz hat korrekt erwogen, dass der Beschwerdeführer im Personalienblatt, bei der Unterzeichnung der Vollmacht zuhanden der Rechtsvertretung, in der Erstbefragung sowie bei der Registrierung in Bulgarien vier unterschiedliche und sich widersprechende Angaben zum Geburtsdatum und zum Namen gemacht hat und er seine unterschriftlich bestätigten Angaben gegen sich gelten lassen muss. Hinsichtlich des Altersgutachtens hat die Vorinstanz ausführlich und unter Verweis auf die Rechtsprechung des Bundesverwaltungsgerichts dargelegt, weshalb sie zum Schluss kommt, dass er in der Gesamtbeurteilung seine Minderjährigkeit nicht im Sinne von Art. 7 AsylG glaubhaft gemacht oder belegt hat. Aus der Tazkira, gemäss welcher er zum Zeitpunkt der Ausstellung dem Aussehen nach 12-jährig gewesen sei, geht kein genaues Alter oder Geburtsdatum hervor und ihr kommt nur ein geringer Beweiswert zu. Er hat keine rechtsgenüglichen Identitätspapiere eingereicht, welche seine geltend gemachten Personalien belegen würden. Mit der Vorinstanz ist festzustellen, dass das im ZEMIS eingetragene Geburtsdatum ([...]) mit dem Altersgutachten vereinbar ist und, dass seine Angaben zum Alter und Geburtsdatum konstruiert wirken und die Vermutung nahelegen, dass er die Vorinstanz über sein wahres Geburtsdatum und Alter zu täuschen beabsichtigt. Es liegt auch kein Zweifelsfall vor, weshalb für eine Anwendung des in der Beschwerde genannten Grundsatzes «in dubio pro minore» kein Raum besteht (vgl. dazu auch das Urteil des BVGer D-3944/2021 vom 21. September 2021 E. 9.2 m.w.H.), zumal diesem Grundsatz bereits mit dem herabgesetzten Beweismassstab der Glaubhaftigkeit Rechnung getragen wird. Die Vorinstanz ging folglich zu Recht von der Volljährigkeit des Beschwerdeführers aus. Zudem hat die Vorinstanz korrekt erwogen, dass die grundsätzliche Zuständigkeit für die Durchführung des Asyl- und Wegweisungsverfahrens bei Bulgarien liegt, dass sich die Abnahme von Fingerabdrücken von asylsuchenden Personen auf die Verordnung (EU) Nr. 603/2013 des Europäischen Parlaments und des Rates vom 26. Juni 2013 (Eurodac-Verordnung) stützt, dass das bulgarische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Sie hat richtig dargetan, dass der in der Schweiz aufhältige Cousin des Vaters des Beschwerdeführers nicht als Familienangehöriger im Sinne von Art. 2 Bst. g Dublin-III-VO gilt und zwischen diesem und dem Beschwerdeführer kein Abhängigkeitsverhältnis vorliegt. Mit der Vorinstanz ist davon auszugehen, dass der Beschwerdeführer bei einer Überstellung keinen gravierenden Menschenrechtsverletzungen im Sinne von Art. 3 Abs. 2 Dublin-III-VO ausgesetzt oder ohne Prüfung seines Asylgesuchs und unter Verletzung des Non-Refoulement-Gebots in seinen Heimatsstaat überstellt würde, und dass keine konkreten Hinweise dafür vorliegen, dass er bei einer Rückkehr nach Bulgarien in eine existenzielle Notlage geraten würde. Die Vorinstanz hat den Gesundheitszustand des Beschwerdeführers hinreichend abgeklärt und er ist nach eigenen Angaben gesund, womit eine Rückweisung auch in dieser Hinsicht nicht gegen Art. 3 EMRK verstösst. Darüber hinaus hat die Vorinstanz in rechtsfehlerfreier Ausübung des ihr nach Art. 17 Abs. 1 Dublin-III-VO und Art. 29a Abs. 3 AsylV 1 zukommenden Ermessens von einem freiwilligen Selbsteintritt der Schweiz abgesehen. Die Vorinstanz ist demnach zu Recht in Anwendung von Art. 31a Abs. 1 Bst. b AsylG auf das Asylgesuch des Beschwerdeführers nicht eingetreten und hat in Anwendung von Art. 44 AsylG seine Wegweisung nach Bulgarien angeordnet. Zur näheren Begründung wird auf die korrekten vorinstanzlichen Erwägungen verwiesen.</w:t>
      </w:r>
    </w:p>
    <w:p>
      <w:r>
        <w:rPr>
          <w:b/>
        </w:rPr>
        <w:t>E. 3.2</w:t>
      </w:r>
    </w:p>
    <w:p>
      <w:r>
        <w:t>Die Vorbringen des Beschwerdeführers auf Rechtsmittelebene zu den voneinander abweichenden Personalienangaben vermögen an der Richtigkeit der vorinstanzlichen Verfügung nichts zu ändern, zumal er seine Angaben jeweils unterschriftlich bestätigt hat und seine Begründung für die Abweichungen vage und unplausibel sind. Seine Angabe, dass er in Bulgarien «wie ein Hund» behandelt worden sei und man ihn beschimpft habe, wenn er nach Essen und Trinken gefragt habe, führt nicht zur Annahme, dass die von ihm bei einer Rückführung nach Bulgarien zu erwartenden Bedingungen derart schlecht wären, dass sie zu einer Verletzung von Art. 3 EMRK führen könnten.</w:t>
      </w:r>
    </w:p>
    <w:p>
      <w:r>
        <w:rPr>
          <w:b/>
        </w:rPr>
        <w:t>E. 4</w:t>
      </w:r>
    </w:p>
    <w:p>
      <w:r>
        <w:t>Nach dem Gesagten ist die angefochtene Verfügung vom 13. September 2024 nicht zu beanstanden und die Beschwerde ist abzuweisen.</w:t>
      </w:r>
    </w:p>
    <w:p>
      <w:r>
        <w:rPr>
          <w:b/>
        </w:rPr>
        <w:t>E. 5</w:t>
      </w:r>
    </w:p>
    <w:p>
      <w:r>
        <w:t>Mit vorliegendem Urteil wird der Antrag auf Gewährung der aufschiebenden Wirkung gegenstandslos und fällt der am 24. September 2024 angeordnete Vollzugsstopp dahin.</w:t>
      </w:r>
    </w:p>
    <w:p>
      <w:r>
        <w:rPr>
          <w:b/>
        </w:rPr>
        <w:t>E. 6</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