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F-5967/2023 vom 6. November 2023</w:t>
      </w:r>
    </w:p>
    <w:p>
      <w:r>
        <w:t>Bundesverwaltungsgericht, 2023-11-06, DE</w:t>
      </w:r>
    </w:p>
    <w:p>
      <w:r>
        <w:rPr>
          <w:b/>
        </w:rPr>
        <w:t xml:space="preserve">Quelle: </w:t>
      </w:r>
      <w:r>
        <w:t>https://mcp.opencaselaw.ch/entscheid/bvger_F-5967_2023</w:t>
      </w:r>
    </w:p>
    <w:p>
      <w:r>
        <w:t>FR: TAF F-5967/2023 du 6 novembre 2023</w:t>
      </w:r>
    </w:p>
    <w:p>
      <w:r>
        <w:t>IT: TAF F-5967/2023 del 6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folglich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(BVGE 2017 VI/5 E. 6.2 und 8.2.1).</w:t>
      </w:r>
    </w:p>
    <w:p>
      <w:r>
        <w:rPr>
          <w:b/>
        </w:rPr>
        <w:t>E. 4.3</w:t>
      </w:r>
    </w:p>
    <w:p>
      <w:r>
        <w:t>Der Beschwerdeführer wurde am 4. Juli 2023 in Bulgarien daktyloskopisch erfasst, was sich unbenommen von seiner fehlenden Absicht, dort ein Asylgesuch einzureichen, als zuständigkeitsbegründend erweist (vgl. Art. 14 Abs. 1 der Verordnung [EU] Nr. 603/2013 des Europäischen Parlaments und des Rats vom 26. Juni 2013 [Eurodac-Verordnung]). Die Dublin-III-VO gewährt dem Antragsteller kein Wahlrecht hinsichtlich des Mitgliedstaates, der seinen Antrag prüfen soll (BVGE 2010/45 E. 8.3). Nachdem die bulgarischen Behörden dem Wiederaufnahmegesuch der Vorinstanz zugestimmt haben, ist die grundsätzliche Zuständigkeit Bulgariens für die Durchführung des Asyl- und Wegweisungsverfahrens gegeben.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AsylV 1 kann zudem die Vorinstanz das Asylgesuch «aus humanitären Gründen» auch dann behandeln, wenn dafür gemäss Dublin-III-VO ein anderer Staat zuständig wäre.</w:t>
      </w:r>
    </w:p>
    <w:p>
      <w:r>
        <w:rPr>
          <w:b/>
        </w:rPr>
        <w:t>E. 6</w:t>
      </w:r>
    </w:p>
    <w:p>
      <w:r>
        <w:t>Nach konstanter Rechtsprechung des Bundesverwaltungsgerichts weist das Asylverfahren in Bulgarien keine systemischen Schwachstellen gemäss Art. 3 Abs. 2 Dublin-III-VO auf (vgl. Urteile des BVGer F-7195/2018 vom 11. Februar 2020 [als Referenzurteil publiziert] E. 6.6.7; F-5523/2023 vom 31. Oktober 2023 E. 5.4 m.w.H.). Unter Berücksichtigung der in der Beschwerde zitierten Berichte ist nicht anzunehmen, Bulgarien verstosse systematisch gegen seine vertraglichen Verpflichtungen als zuständiger Dublin-Mitgliedstaat im Falle einer Rücküberstellung von Asylsuchenden. Auch wenn es an der EU-Aussengrenze vereinzelt zu Push-Backs kommen mag, ist nicht davon auszugehen, Dublin-Rückkehrende würden in Bulgarien ohne Möglichkeit der Prüfung ihres Schutzersuchens und in Verletzung des Refoulement-Verbots zurückgewiesen. Der Beschwerdeführer hat sich durch seine Weiterreise nach Serbien wenige Wochen nach Erfassung seiner Fingerabdrücke in Bulgarien einem dortigen Asylverfahren eigenverantwortlich entzogen. Mangels anderweitiger Hinweise ist davon auszugehen, dass die bulgarischen Behörden in seinem Fall ein faires Asyl- und Wegweisungsverfahren unter Beachtung des Non-Refoulement-Gebots durchführen werden. Daran ändert auch die tiefe Schutzquote von afghanischen Asylsuchenden nichts (vgl. Urteil des BVGer F-7195/2018 vom 11. Februar 2020 [als Referenzurteil publiziert] E. 7.2.2). Art. 3 Abs. 2 Dublin-III-VO findet folglich keine Anwendung.</w:t>
      </w:r>
    </w:p>
    <w:p>
      <w:r>
        <w:rPr>
          <w:b/>
        </w:rPr>
        <w:t>E. 7</w:t>
      </w:r>
    </w:p>
    <w:p>
      <w:r>
        <w:t>Schliesslich ist die Ausübung des Selbsteintrittsrechts nach Art. 17 Abs. 1 erster Satz Dublin-III-VO in Verbindung mit Art. 29a Abs. 3 AsylV 1 zu prüfen.</w:t>
      </w:r>
    </w:p>
    <w:p>
      <w:r>
        <w:rPr>
          <w:b/>
        </w:rPr>
        <w:t>E. 7.1</w:t>
      </w:r>
    </w:p>
    <w:p>
      <w:r>
        <w:t>Bulgarien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 Januar 1967 (SR 0.142.301) und hat die diesbezüglichen völkerrechtlichen Verpflichtungen zu beachten.</w:t>
      </w:r>
    </w:p>
    <w:p>
      <w:r>
        <w:rPr>
          <w:b/>
        </w:rPr>
        <w:t>E. 7.2</w:t>
      </w:r>
    </w:p>
    <w:p>
      <w:r>
        <w:t>Auch angesichts der anerkanntermassen schwierigen Bedingungen für Asylsuchende in Bulgarien lassen die Vorbringen des Beschwerdeführers (Gewaltanwendung durch Polizeibeamte, haftähnliche Unterbringungsstrukturen, mangelhafte Grundversorgung) nicht den Schluss zu, er habe bei einer Überstellung nach Bulgarien mit hoher Wahrscheinlichkeit eine unmenschliche oder erniedrigende Behandlung im Sinne von Art. 3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7.3</w:t>
      </w:r>
    </w:p>
    <w:p>
      <w:r>
        <w:t>In Bezug auf den Gesundheitszustand ist aktenkundig, dass sich der Beschwerdeführer wegen Schlafstörungen und Gedankenkreisen beim medizinischen Personal gemeldet und entsprechende Arzneimittel erhalten hat. Gemäss einem Bericht eines Facharztes für Psychiatrie vom 20. Oktober 2023 leide der Beschwerdeführer an Schlafstörungen und infolge der Einnahme von Medikamenten an Kopfschmerzen. Es wurde ihm empfohlen, das Medikament Relaxane nicht mehr einzunehmen und auf eine Flüssigkeitszufuhr von zwei Litern täglich sowie ausreichend Bewegung zu achten. Die vorgebrachte Langzeittraumatisierung blieb gänzlich unbelegt. Entgegen den Ausführungen auf Beschwerdeebene erwähnte der Beschwerdeführer anlässlich des Dublin-Gesprächs weder Flashbacks noch Suizidgedanken. Bei dieser Sachlage ist nicht ersichtlich, inwiefern weitergehende Abklärungen zum psychischen Gesundheitszustand des Beschwerdeführers erforderlich gewesen wären. Der medizinische Sachverhalt ist rechtsgenüglich erstellt. Von einer Rückweisung zu weiteren Sachverhaltsabklärungen sind in antizipierter Beweiswürdigung keine neuen, entscheidwesentlichen Kenntnisse zu erwarten (BGE 144 V 361 E. 6.5 m.w.H), weshalb der entsprechende Eventualantrag abzuweisen ist.</w:t>
      </w:r>
    </w:p>
    <w:p>
      <w:r>
        <w:rPr>
          <w:b/>
        </w:rPr>
        <w:t>E. 7.4</w:t>
      </w:r>
    </w:p>
    <w:p>
      <w:r>
        <w:t>Die vorgebrachten gesundheitlichen Beeinträchtigungen des Beschwerdeführers sind nicht derart gravierend, dass in Anwendung von Art. 3 EMRK von einer Überstellung nach Bulgarien abgesehen werden müsste (vgl. dazu Urteil des EGMR Paposhvili gegen Belgien vom 13. Dezember 2016, Grosse Kammer, 41738/10, §§ 180-193 m.w.H., bestätigt durch Savran gegen Dänemark 7. Dezember 2021, Grosse Kammer, 57467/15, §§ 121 ff.). Im Übrigen verfügt Bulgarien über eine ausreichende medizinische Infrastruktur für deren Behandlung (vgl. statt vieler: Urteil des BVGer F-5523/2023 vom 31. Oktober 2023 E. 6.3.5) und ist verpflichtet, den Antragstellenden die erforderliche medizinische Versorgung, die zumindest die Notversorgung und die unbedingt erforderliche Behandlung von Krankheiten und schweren psychischen Störungen umfasst, zugänglich zu machen (Art. 19 Abs. 1 Aufnahmerichtlinie), wobei Antragstellenden mit besonderen Bedürfnissen die erforderliche medizinische oder sonstige Hilfe (nötigenfalls einschliesslich einer geeigneten psychologischen Betreuung) zu gewähren ist (Art. 19 Abs. 2 Aufnahmerichtlinie). Es liegen keine Hinweise vor, wonach Bulgarien dem Beschwerdeführer eine adäquate medizinische Behandlung verweigern würde. Die Verweise auf die Urteile des Bundesverwaltungsgerichts D-4930/2023 vom 27. September 2023 und D-5019/2022 vom 24. August 2023 erweisen sich als unbehilflich, weil es sich beim Beschwerdeführer nicht um ein (potentielles) Folteropfer handelt.</w:t>
      </w:r>
    </w:p>
    <w:p>
      <w:r>
        <w:rPr>
          <w:b/>
        </w:rPr>
        <w:t>E. 7.5</w:t>
      </w:r>
    </w:p>
    <w:p>
      <w:r>
        <w:t>Demnach hat die Vorinstanz das Selbsteintrittsrecht zutreffend nicht ausgeübt, zumal die Schweiz weder völkerrechtlich verpflichtet ist, auf das Asylgesuch einzutreten, noch Rechtsfehler bei der Ermessensbetätigung dargetan oder ersichtlich sind.</w:t>
      </w:r>
    </w:p>
    <w:p>
      <w:r>
        <w:rPr>
          <w:b/>
        </w:rPr>
        <w:t>E. 8</w:t>
      </w:r>
    </w:p>
    <w:p>
      <w:r>
        <w:t>Nach dem Gesagten ist die Vorinstanz zu Recht auf das Asylgesuch des Beschwerdeführers nicht eingetreten und hat seine Wegweisung nach Bulgarien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9</w:t>
      </w:r>
    </w:p>
    <w:p>
      <w:r>
        <w:t>Das Gesuch um Gewährung der unentgeltlichen Prozessführung ist abzuweisen, da die Begehren - wie sich aus den vorstehenden Erwägungen ergibt - als offensichtlich aussichtslos zu bezeichnen sind. Die Verfahrenskosten sind entsprechend dem unterliegenden Beschwerdeführer aufzuerlegen (Art. 63 Abs. 1 VwVG) und auf insgesamt Fr. 750.- festzusetzen (Art. 1 ff.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