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F-5963/2024 vom 10. Januar 2025</w:t>
      </w:r>
    </w:p>
    <w:p>
      <w:r>
        <w:t>Bundesverwaltungsgericht, 2025-01-10, DE</w:t>
      </w:r>
    </w:p>
    <w:p>
      <w:r>
        <w:rPr>
          <w:b/>
        </w:rPr>
        <w:t xml:space="preserve">Quelle: </w:t>
      </w:r>
      <w:r>
        <w:t>https://mcp.opencaselaw.ch/entscheid/bvger_F-5963_2024</w:t>
      </w:r>
    </w:p>
    <w:p>
      <w:r>
        <w:t>FR: TAF F-5963/2024 du 10 janvier 2025</w:t>
      </w:r>
    </w:p>
    <w:p>
      <w:r>
        <w:t>IT: TAF F-5963/2024 del 10 gennaio 2025</w:t>
      </w:r>
    </w:p>
    <w:p>
      <w:pPr>
        <w:pStyle w:val="Heading2"/>
      </w:pPr>
      <w:r>
        <w:t>Regeste</w:t>
      </w:r>
    </w:p>
    <w:p>
      <w:r>
        <w:t>Schengen-Visum</w:t>
      </w:r>
    </w:p>
    <w:p>
      <w:pPr>
        <w:pStyle w:val="Heading2"/>
      </w:pPr>
      <w:r>
        <w:t>Erwägungen</w:t>
      </w:r>
    </w:p>
    <w:p>
      <w:r>
        <w:rPr>
          <w:b/>
        </w:rPr>
        <w:t>E. 1.1</w:t>
      </w:r>
    </w:p>
    <w:p>
      <w:r>
        <w:t>Einspracheentscheide des SEM bezüglich Schengen-Visa sind mit Be- schwerde beim Bundesverwaltungsgericht anfechtbar (vgl. Art. 112 Abs. 1 AIG [SR 142.20] i.V.m. Art. 31 ff. VGG und Art. 5 VwVG). Das Rechtsmit- telverfahren richtet sich nach dem VwVG, soweit das VGG nichts anderes bestimmt (Art. 37 VGG).</w:t>
      </w:r>
    </w:p>
    <w:p>
      <w:r>
        <w:t>F-5963/2024 Seite 3</w:t>
      </w:r>
    </w:p>
    <w:p>
      <w:r>
        <w:rPr>
          <w:b/>
        </w:rPr>
        <w:t>E. 1.2</w:t>
      </w:r>
    </w:p>
    <w:p>
      <w:r>
        <w:t>Der Beschwerdeführer hat am vorangegangenen Einspracheverfahren teilgenommen und ist als Gastgeber der Gesuchsteller durch die angefoch- tene Verfügung besonders berührt. Er ist zur Erhebung des Rechtsmittels legitimiert, zumal die Gesuchsteller nach wie vor einen Besuch in der Schweiz beabsichtigen (Art. 48 Abs. 1 VwVG). Auf die frist- und formge- recht eingereichte Beschwerde ist einzutreten (Art. 50 Abs. 1 und Art. 52 Abs. 1 VwVG).</w:t>
      </w:r>
    </w:p>
    <w:p>
      <w:r>
        <w:rPr>
          <w:b/>
        </w:rPr>
        <w:t>E. 1.3</w:t>
      </w:r>
    </w:p>
    <w:p>
      <w:r>
        <w:t>In der vorliegenden Angelegenheit entscheidet das Bundesverwal- tungsgericht endgültig (Art. 83 Bst. c Ziff. 1 BGG, vgl. dazu Urteil des BGer 2C_316/2024 vom 21. Juni 2024 E. 2).</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soweit nicht eine kantonale Behörde als Be- schwerdeinstanz verfügt hat – die Unangemessenheit gerügt werden (Art. 49 VwVG). Das Bundesverwaltungsgericht wendet das Bundesrecht von Amtes wegen an und ist nicht an die Begründung der Begehren ge- bunden (Art. 62 Abs. 4 VwVG). Massgeblich ist grundsätzlich die Sachlage im Entscheidzeitpunkt (vgl. BVGE 2020 VII/4 E. 2.2 m.H., 2014/1 E. 2).</w:t>
      </w:r>
    </w:p>
    <w:p>
      <w:r>
        <w:rPr>
          <w:b/>
        </w:rPr>
        <w:t>E. 3.1</w:t>
      </w:r>
    </w:p>
    <w:p>
      <w:r>
        <w:t>Der angefochtenen Verfügung liegen die Gesuche zweier ägyptischer Staatsangehöriger um Erteilung von Visa zu Besuchszwecken in der Schweiz zugrunde. Da sich die Gesuchsteller nicht auf die EU/EFTA-Per- sonenfreizügigkeitsabkommen berufen können und die beabsichtigte Auf- enthaltsdauer 90 Tage nicht überschreitet, fällt die vorliegende Streitsache in den Anwendungsbereich der Schengen-Assoziierungsabkommen, mit denen die Schweiz den Schengen-Besitzstand sowie die dazugehörigen gemeinschaftsrechtlichen Rechtsakte übernommen hat (BVGE 2014/1 E. 3; 2011/48 E. 3). Das AIG und dessen Ausführungsbestimmungen ge- langen nur soweit zur Anwendung, als die Schengen-Assoziierungsabkom- men keine abweichenden Bestimmungen enthalten (Art. 2 Abs. 4 AIG).</w:t>
      </w:r>
    </w:p>
    <w:p>
      <w:r>
        <w:rPr>
          <w:b/>
        </w:rPr>
        <w:t>E. 3.2</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w:t>
      </w:r>
    </w:p>
    <w:p>
      <w:r>
        <w:t>F-5963/2024 Seite 4 sich dabei um einen autonomen Entscheid (vgl. BVGE 2009/27 E. 3 m.w.H.).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 nen Anspruch auf Einreise beziehungsweise Visumserteilung vermittelt auch das Schengen-Recht nicht (vgl. BVGE 2014/1 E. 4.1.5).</w:t>
      </w:r>
    </w:p>
    <w:p>
      <w:r>
        <w:rPr>
          <w:b/>
        </w:rPr>
        <w:t>E. 3.3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erforderlich ist gemäss der Verordnung (EU) 2018/1806 des Europäischen Parlaments und des Rates vom 14. Novem- ber 2018 zur Aufstellung der Liste der Drittländer, deren Staatsangehörige beim Überschreiten der Aussengrenzen im Besitz eines Visums sein müs- sen, sowie der Liste der Drittländer, deren Staatsangehörige von dieser Visumspflicht befreit sind (ABl. L 303/39 vom 28. November 2018). Als ägyptische Staatsangehörige unterliegen die Gesuchsteller der Visums- pflicht (Anhang I der bereits erwähnten Verordnung Nr. 2018/1806). Weiter müssen Drittstaatsangehörige den Zweck und die Umstände ihres beabsichtigten Aufenthalts belegen und hierfür über ausreichende finanzi- elle Mittel verfügen. Namentlich haben sie in diesem Zusammenhang zu belegen, dass sie den Schengen-Raum vor Ablauf des bewilligungsfreien Aufenthaltes verlassen, beziehungsweise ausreichende Gewähr für eine fristgerechte Wiederausreise bieten. Des Weiteren dürfen Drittstaatsange- hörige nicht im Schengener Informationssystem (SIS) zur Einreiseverwei- gerung ausgeschrieben sein und keine Gefahr für die öffentliche Ordnung, die innere Sicherheit, die öffentliche Gesundheit oder die internationalen Beziehungen eines Mitgliedstaats darstellen (vgl. zum Ganzen: Art. 5 Abs. 1 und 2 AIG; Art. 3 Abs. 1 der Verordnung vom 15. August 2018 über die Einreise und die Visumerteilung [VEV, SR 142.204] i.V.m. Art. 6 Abs. 1 und 2 der Verordnung [EG] Nr. 2016/399 des Europäischen Parlaments und des Rates vom 9. März 2016 über einen Gemeinschaftskodex für das Überschreiten der Grenzen durch Personen [Schengener Grenzkodex, SGK, ABl. L 77/1 vom 23.03.2016]; Art. 14 Abs. 1 und Art. 21 Abs. 1 der Verordnung [EG] Nr. 810/2009 des Europäischen Parlaments und des Ra- tes vom 13. Juli 2009 über einen Visakodex der Gemeinschaft [Visakodex, VK, Abl. L 243/1 vom 15.09.2009]).</w:t>
      </w:r>
    </w:p>
    <w:p>
      <w:r>
        <w:t>F-5963/2024 Seite 5 Wenn die drittstaatsangehörige Person nicht bereit ist, das Hoheitsgebiet des Schengen-Raums fristgerecht wieder zu verlassen, ist eine Gefahr für die öffentliche Ordnung im Sinne von Art. 6 Abs. 1 Bst. e SGK anzunehmen (BVGE 2014/1 E. 4.3 m.H.). Die Behörden haben daher zu prüfen und die drittstaatsangehörige Person hat zu belegen, dass keine Gefahr einer rechtswidrigen Einwanderung oder einer nicht fristgerechten Ausreise be- steht (Art. 14 Abs. 1 Bst. d und Art. 21 Abs. 1 VK). Bestehen Zweifel an ei- nem fristgerechten Verlassen des Hoheitsgebiets der Mitgliedstaaten, so ist das Visum zu verweigern (Art. 32 Abs. 1 Bst. b VK). Den Behörden kommt bei der Beurteilung, ob die Voraussetzungen für die Visumsertei- lung erfüllt sind, ein weiter Beurteilungsspielraum zu (BVGE 2014/1 E. 4.1.5 in fine).</w:t>
      </w:r>
    </w:p>
    <w:p>
      <w:r>
        <w:rPr>
          <w:b/>
        </w:rPr>
        <w:t>E. 3.4</w:t>
      </w:r>
    </w:p>
    <w:p>
      <w:r>
        <w:t>Sind die erwähnten Einreisevoraussetzungen nicht erfüllt, kann in Aus- nahmefällen ein Visum mit räumlich beschränkter Gültigkeit erteilt werden, das nur für das Hoheitsgebiet des betreffenden Mitgliedstaats gilt. Von die- ser Möglichkeit kann der betreffende Mitgliedstaat unter anderem Ge- brauch machen, wenn er es aus humanitären Gründen, aus solchen des nationalen Interesses oder aufgrund internationaler Verpflichtungen für er- forderlich hält (vgl. Art. 3 Abs. 4 und 5 VEV; Art. 25 Abs. 1 Bst. a VK; Art. 6 Abs. 5 Bst. c SGK).</w:t>
      </w:r>
    </w:p>
    <w:p>
      <w:r>
        <w:rPr>
          <w:b/>
        </w:rPr>
        <w:t>E. 4.1</w:t>
      </w:r>
    </w:p>
    <w:p>
      <w:r>
        <w:t>Die Vorinstanz begründet die Abweisung der Einsprache im Wesentli- chen damit, dass die anstandslose Wiederausreise der Gesuchsteller nicht gesichert sei. Bei der Beurteilung des Kriteriums der gesicherten Wiederausreise muss ein zukünftiges Verhalten beurteilt werden. Anhaltspunkte dazu können sich zunächst aus der allgemeinen Situation im Herkunftsland der dritt- staatsangehörigen Personen ergeben. Namentlich bei Einreisegesuchen von Personen aus Staaten beziehungsweise Regionen mit politisch, wirt- schaftlich und sozial ungünstigen Verhältnissen rechtfertigt sich eine stren- gere Praxis, da die persönliche Interessenlage in solchen Fällen erfah- rungsgemäss häufig nicht mit dem Ziel und Zweck einer zeitlich befristeten Einreisebewilligung im Einklang steht (BVGE 2014/1 E. 6.1 m.H.).</w:t>
      </w:r>
    </w:p>
    <w:p>
      <w:r>
        <w:rPr>
          <w:b/>
        </w:rPr>
        <w:t>E. 4.2</w:t>
      </w:r>
    </w:p>
    <w:p>
      <w:r>
        <w:t>Die ägyptische Wirtschaft befindet sich seit einigen Jahren in einer schweren Krise und die Bevölkerung leidet unter der massiven Preisstei- gerung bei Lebensmitteln und Gütern des alltäglichen Bedarfs. Es besteht eine hohe Inflation und ein starker Wertverlust des ägyptischen Pfunds. Im</w:t>
      </w:r>
    </w:p>
    <w:p>
      <w:r>
        <w:t>F-5963/2024 Seite 6 Jahr 2024 wurde ein breit abgestützter Rettungsplan, unter anderem durch die Erhöhung des Kredits des Internationalen Währungsfonds (IMF) und Unterstützung durch die Weltbank, erarbeitet. Nach mehreren Herabstu- fungen und negativen Prognosen sind die globalen Ratingagenturen wie- der etwas optimistischer in Bezug auf die ägyptische Wirtschaft. In Bezug auf das reale BIP sind die wirtschaftlichen Entwicklungen jedoch nicht allzu rosig. Laut einer kürzlich veröffentlichten Studie der Weltbank wird erwar- tet, dass sich das reale BIP-Wachstum Ägyptens weiter verlangsamen wird (vgl. Wirtschaftsbericht Ägypten 2024 der Schweizerischen Botschaft in Kairo, 20.07.2024 &lt; https://www.seco.admin.ch/seco/de/home/Aussen- wirtschaftspolitik_Wirtschaftliche_Zusammenarbeit/Wirtschaftsbeziehun- gen/laenderinformationen/afrika/aegypten.html &gt;; Bertelsmann Stiftung, BTI 2024 Country Report — Egypt. Gütersloh: Bertelsmann Stiftung, 2024 &lt; https://bti-project.org/en/reports/country-report/EGY#pos9 &gt; alle abgeru- fen am 25.11.2024). Auf dem aktuellen Index der menschlichen Entwick- lung, der durch das Entwicklungsprogramm der Vereinten Nationen im Sinne eines Wohlstandsindikators erstellt wird, belegt Ägypten Platz 105 von 193 gelisteten Staaten (vgl. &lt; https://hdr.undp.org/data-center/country- insights#/ranks &gt;, abgerufen am 25.11.2024). Ferner besteht im ganzen Land trotz erhöhter Sicherheitsmassnahmen das Risiko von Terroranschlä- gen. Die Situation ist vor allem im Grenzgebiet zu Israel und dem besetzten Palästinensischen Gebiet volatil und die Entwicklung der Lage ungewiss (&lt; https://www.eda.admin.ch/content/eda/de/home/laender-reise-informa- tion/aegypten/reisehinweise-aegypten.html#edaff36f1. &gt; abgerufen am 25.11.2024). Vor diesem Hintergrund ist nicht zu beanstanden, dass die Vorinstanz das Risiko einer nicht fristgerechten Wiederausreise von Personen aus Ägyp- ten allgemein als hoch einschätzt.</w:t>
      </w:r>
    </w:p>
    <w:p>
      <w:r>
        <w:rPr>
          <w:b/>
        </w:rPr>
        <w:t>E. 4.3</w:t>
      </w:r>
    </w:p>
    <w:p>
      <w:r>
        <w:t>Bei der Risikoanalyse sind allerdings nicht nur solch allgemeine Um- stände und Erfahrungen, sondern auch sämtliche Gesichtspunkte des kon- kreten Einzelfalles zu berücksichtigen. Obliegt einer gesuchstellenden Per- son im Heimatland eine besondere berufliche, gesellschaftliche oder fami- liäre Verantwortung, kann dieser Umstand durchaus die Prognose für eine anstandslose Wiederausreise begünstigen. Demgegenüber muss bei Per- sonen, die in ihrer Heimat keine besonderen Verpflichtungen haben, das Risiko für ein ausländerrechtlich nicht regelkonformes Verhalten nach einer bewilligten Einreise als hoch eingeschätzt werden (BVGE 2014/1 E. 6.3.1).</w:t>
      </w:r>
    </w:p>
    <w:p>
      <w:r>
        <w:t>F-5963/2024 Seite 7</w:t>
      </w:r>
    </w:p>
    <w:p>
      <w:r>
        <w:rPr>
          <w:b/>
        </w:rPr>
        <w:t>E. 4.4</w:t>
      </w:r>
    </w:p>
    <w:p>
      <w:r>
        <w:t>Bei den Gesuchstellern handelt es sich um einen (…)-jährigen und ei- nen (…)-jährigen Mann. Auf den Antragsformularen bezeichneten sich beide als ledig. Gemäss Angaben in der Beschwerde sei der Gesuchstel- ler 2 inzwischen verheiratet. Eine herausragende, besondere familiäre Ver- antwortung, welche die Prognose für eine anstandslose Wiederausreise begünstigen würde, liegt damit bei keinem der Gesuchsteller vor. Was ihre finanzielle Situation betrifft, wies die Vorinstanz zutreffend darauf hin, dass die ausgewiesenen Löhne unter dem in Ägypten üblichen Mindestlohn lie- gen. In der Beschwerde wurde hervorgehoben, dass die Gesuchsteller Zu- schläge – Trinkgelder oder ähnliches – erhielten, jedoch nicht dargetan, in welcher Höhe sich diese bewegen. Damit ist nicht von einer wirtschaftli- chen Situation auszugehen, welche die Gesuchsteller nachhaltig von einer Migration abzuhalten vermöchten. Worin der Zweck des Besuchs in der Schweiz genau besteht, wurde nicht hinreichend konkret dargetan. Die (…) des Beschwerdeführers plane (…) im Heimatland der Gesuchsteller, wel- che diese gegebenenfalls begleiten sollen. Weshalb in diesem Zusammen- hang und für die Vertiefung der Geschäftsbeziehungen zwischen den Ge- suchstellern und dem Beschwerdeführer ein Besuch in der Schweiz not- wendig sein soll, ist nicht nachvollziehbar, da es dem Beschwerdeführer problemlos möglich wäre, die Gesuchsteller in Ägypten – dem Land, in wel- chen (…) durchgeführt werden sollen – zu treffen. Die Vorinstanz durfte unter den vorliegenden Umständen zulässigerweise davon ausgehen, dass keine hinreichende Gewähr für eine fristgerechte und anstandslose Wiederausreise nach einem Besuchsaufenthalt besteht (vgl. BVGE 2014/1 E. 6.1, 6.3.1).</w:t>
      </w:r>
    </w:p>
    <w:p>
      <w:r>
        <w:rPr>
          <w:b/>
        </w:rPr>
        <w:t>E. 5.1</w:t>
      </w:r>
    </w:p>
    <w:p>
      <w:r>
        <w:t>Aus den Akten ergibt sich nicht eindeutig, ob die Verpflichtungserklä- rung – wie vom Beschwerdeführer in seiner Eingabe vom 27. November 2024 (Datum Poststempel) geltend gemacht – dem Migrationsamt tatsäch- lich eingereicht wurde. Auch aus der dem Gericht eingereichten Mailkor- respondenz erschliesst sich nicht, ob das Formular allenfalls in einem An- hang mitgeschickt wurde. Dies kann indes offenbleiben, da auch die Ver- pflichtungserklärung nichts am Verfahrensausgang zu ändern vermag.</w:t>
      </w:r>
    </w:p>
    <w:p>
      <w:r>
        <w:rPr>
          <w:b/>
        </w:rPr>
        <w:t>E. 5.2</w:t>
      </w:r>
    </w:p>
    <w:p>
      <w:r>
        <w:t>Bei der Risikobeurteilung ist in erster Linie das mögliche Verhalten der Gäste selbst von Bedeutung. Gastgeber und Garanten können mit recht- lich verbindlicher Wirkung zwar für gewisse finanzielle Risiken im Zusam- menhang mit einem Besuchsaufenthalt, nicht aber für ein bestimmtes Tun oder Unterlassen ihrer Gäste einstehen (vgl. BVGE 2014/1 E. 6.3.7 und BVGE 2009/27 E. 9).</w:t>
      </w:r>
    </w:p>
    <w:p>
      <w:r>
        <w:t>F-5963/2024 Seite 8</w:t>
      </w:r>
    </w:p>
    <w:p>
      <w:r>
        <w:rPr>
          <w:b/>
        </w:rPr>
        <w:t>E. 6</w:t>
      </w:r>
    </w:p>
    <w:p>
      <w:r>
        <w:t>Insofern der Beschwerdeführer sinngemäss die Prüfung der Ausstellung von Visa mit räumlich beschränkter Gültigkeit beantragt, ist festzustellen, dass humanitäre Gründe, nationale Interessen oder internationale Ver- pflichtungen nicht vorgebracht werden und sich auch aus den Akten nicht ergeben (zu den Voraussetzungen vgl. E. 3.4). Die Ausstellung eines Visums mit beschränkter Gültigkeit ist nicht geboten.</w:t>
      </w:r>
    </w:p>
    <w:p>
      <w:r>
        <w:rPr>
          <w:b/>
        </w:rPr>
        <w:t>E. 7</w:t>
      </w:r>
    </w:p>
    <w:p>
      <w:r>
        <w:t>Die angefochtene Verfügung erweist sich im Lichte von Art. 49 VwVG als rechtmässig. Die Beschwerde ist demzufolge abzuweisen.</w:t>
      </w:r>
    </w:p>
    <w:p>
      <w:r>
        <w:rPr>
          <w:b/>
        </w:rPr>
        <w:t>E. 8</w:t>
      </w:r>
    </w:p>
    <w:p>
      <w:r>
        <w:t>Bei diesem Ausgang des Verfahrens sind die Kosten dem Beschwerdefüh- rer aufzuerlegen und auf Fr. 900.– festzusetzen (vgl. Art. 63 Abs. 1 VwVG i.V.m. Art. 1 ff. des Reglements vom 21. Februar 2008 über die Kosten und Entschädigungen vor dem Bundesverwaltungsgericht [VGKE, SR 173.320.2]). Sie sind durch den am 18. Oktober 2024 in gleicher Höhe ge- leisteten Kostenvorschuss gedeckt.</w:t>
      </w:r>
    </w:p>
    <w:p>
      <w:r>
        <w:t>(Dispositiv nächste Seite)</w:t>
      </w:r>
    </w:p>
    <w:p>
      <w:r>
        <w:t>F-5963/2024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