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F-5958/2022 vom 25. Januar 2023</w:t>
      </w:r>
    </w:p>
    <w:p>
      <w:r>
        <w:t>Bundesverwaltungsgericht, 2023-01-25, DE</w:t>
      </w:r>
    </w:p>
    <w:p>
      <w:r>
        <w:rPr>
          <w:b/>
        </w:rPr>
        <w:t xml:space="preserve">Quelle: </w:t>
      </w:r>
      <w:r>
        <w:t>https://mcp.opencaselaw.ch/entscheid/bvger_F-5958_2022</w:t>
      </w:r>
    </w:p>
    <w:p>
      <w:r>
        <w:t>FR: TAF F-5958/2022 du 25 janvier 2023</w:t>
      </w:r>
    </w:p>
    <w:p>
      <w:r>
        <w:t>IT: TAF F-5958/2022 del 25 gennaio 2023</w:t>
      </w:r>
    </w:p>
    <w:p>
      <w:pPr>
        <w:pStyle w:val="Heading2"/>
      </w:pPr>
      <w:r>
        <w:t>Regeste</w:t>
      </w:r>
    </w:p>
    <w:p>
      <w:r>
        <w:t>Einreiseverbot</w:t>
      </w:r>
    </w:p>
    <w:p>
      <w:pPr>
        <w:pStyle w:val="Heading2"/>
      </w:pPr>
      <w:r>
        <w:t>Erwägungen</w:t>
      </w:r>
    </w:p>
    <w:p>
      <w:r>
        <w:rPr>
          <w:b/>
        </w:rPr>
        <w:t>E. 1.1</w:t>
      </w:r>
    </w:p>
    <w:p>
      <w:r>
        <w:t>Verfügungen der Vorinstanz, die ein Gesuch um Wiedererwägung eines Einreiseverbots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grundsätzlich einzutreten (Art. 50 und Art. 52 VwVG).</w:t>
      </w:r>
    </w:p>
    <w:p>
      <w:r>
        <w:rPr>
          <w:b/>
        </w:rPr>
        <w:t>E. 1.4</w:t>
      </w:r>
    </w:p>
    <w:p>
      <w:r>
        <w:t>In der vorliegenden Angelegenheit entscheidet das Bundesverwaltungsgericht endgültig (Art. 83 Bst. c Ziff. 1 BGG).</w:t>
      </w:r>
    </w:p>
    <w:p>
      <w:r>
        <w:rPr>
          <w:b/>
        </w:rPr>
        <w:t>E. 2</w:t>
      </w:r>
    </w:p>
    <w:p>
      <w:r>
        <w:t>Die Beschwerde erweist sich, wie nachfolgend zu zeigen sein wird, als offensichtlich unbegründet, weshalb auf die Durchführung eines Schriftenwechsels verzichtet wurde (Art. 57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Die Vorinstanz ist auf das Wiedererwägungsgesuch des Beschwerdeführers vom 25. November 2022, mit dem er sich auf eine nachträglich veränderte Sachlage berufen hat, eingetreten, hat dieses materiell geprüft und einen neuen Sachentscheid gefällt. Das Bundesverwaltungsgericht kann daher mit voller Kognition prüfen, ob sich das gegen den Beschwerdeführer bestehende Einreiseverbot samt Ausschreibung zur Einreiseverweigerung SIS II zum heutigen Zeitpunkt noch als bundesrechtskonform erweist. Die Frage, ob die ursprüngliche, unangefochten in Rechtskraft erwachsene Verfügung zu Recht erlassen wurde, kann demgegenüber grundsätzlich nicht mehr Gegenstand des vorliegenden Verfahrens bilden (BVGE 2008/24 E. 2.2; Urteil des BVGer F-4634/2020 vom 10. Mai 2021 E. 4).</w:t>
      </w:r>
    </w:p>
    <w:p>
      <w:r>
        <w:rPr>
          <w:b/>
        </w:rPr>
        <w:t>E. 5.1</w:t>
      </w:r>
    </w:p>
    <w:p>
      <w:r>
        <w:t>Das SEM kann Einreiseverbote gegenüber Ausländerinnen und Ausländern verfügen, die gegen die öffentliche Sicherheit und Ordnung in der Schweiz oder im Ausland verstossen haben oder diese gefährden (Art. 67 Abs. 2 Bst. a AIG in der hier anwendbaren, bis am 21. November 2022 gültig gewesenen Fassung vom 18. Juni 2010 [AS 2010 5925]). Das Einreiseverbot wird für eine Dauer von höchstens fünf Jahren verfügt (Art. 67 Abs. 3 erster Satz AIG). Es kann für eine längere Dauer angeordnet werden, wenn die betroffene Person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(BVGE 2021 VII/2 E. 3.2; vgl. auch Urteil des BGer 2C_487/2012 vom 2. April 2013 E. 4.2).</w:t>
      </w:r>
    </w:p>
    <w:p>
      <w:r>
        <w:rPr>
          <w:b/>
        </w:rPr>
        <w:t>E. 5.2</w:t>
      </w:r>
    </w:p>
    <w:p>
      <w:r>
        <w:t>Wird gegen eine Person, die - wie vorliegend -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Art. 24 der Verordnung [EG] Nr. 1987/2006 vom 20. Dezember 2006 über die Einrichtung, den Betrieb und die Nutzung des Schengener Informationssystems der zweiten Generation [SIS II], ABl. L 381/4 vom 28.12.2006 [nachfolgend: SIS II-VO]).</w:t>
      </w:r>
    </w:p>
    <w:p>
      <w:r>
        <w:rPr>
          <w:b/>
        </w:rPr>
        <w:t>E. 6</w:t>
      </w:r>
    </w:p>
    <w:p>
      <w:r>
        <w:t>Der Beschwerdeführer begründet sein Begehren um vorzeitige Aufhebung des gegen ihn verhängten Einreiseverbots damit, dass er sich seit dessen Erlass wohlverhalten habe. In seinem Heimatland habe er beruflich Fuss gefasst, eine Einzelfirma sowie einen Gastgewerbebetrieb gegründet und lebe dort mit seiner Familie in guten wirtschaftlichen Verhältnissen. Folglich gehe von ihm keine Gefahr für die öffentliche Ordnung und Sicherheit mehr aus.</w:t>
      </w:r>
    </w:p>
    <w:p>
      <w:r>
        <w:rPr>
          <w:b/>
        </w:rPr>
        <w:t>E. 6.1</w:t>
      </w:r>
    </w:p>
    <w:p>
      <w:r>
        <w:t>Die Rechtsauffassung des Beschwerdeführers trifft nicht zu: Das Bundesverwaltungsgericht hat in BVGE 2021 VII/2 entschieden, dass ausserhalb des Geltungsbereichs des Freizügigkeitsabkommens klagloses Verhalten keinen Wiedererwägungsgrund darstelle. Es erwog, dass der Betroffene während der vollen Dauer der Massnahme seine Fähigkeit und seine Bereitschaft unter Beweis zu stellen habe, sich an die Rechtsordnung zu halten. Gelinge ihm dieser Nachweis nicht, setze er einen neuen Fernhaltegrund und riskiere eine Verlängerung der Massnahme. Verhalte er sich dagegen klaglos, was vorausgesetzt werde, laufe die Massnahme mit der ursprünglich angesetzten Frist aus. Entsprechend könne klagloses Verhalten während der Dauer der Fernhaltemassnahme nicht Anlass für eine Neubeurteilung des öffentlichen Interesses bilden (BVGE 2021 VII/2 E. 4).</w:t>
      </w:r>
    </w:p>
    <w:p>
      <w:r>
        <w:rPr>
          <w:b/>
        </w:rPr>
        <w:t>E. 6.2</w:t>
      </w:r>
    </w:p>
    <w:p>
      <w:r>
        <w:t>Daraus ergibt sich, dass für eine vorzeitige Aufhebung des Einreiseverbots keine hinreichende Veranlassung besteht.</w:t>
      </w:r>
    </w:p>
    <w:p>
      <w:r>
        <w:rPr>
          <w:b/>
        </w:rPr>
        <w:t>E. 7.1</w:t>
      </w:r>
    </w:p>
    <w:p>
      <w:r>
        <w:t>Nicht anders verhält es sich hinsichtlich der durch den Beschwerdeführer eventualiter beantragten vorzeitigen Löschung der Ausschreibung zur Einreise- und Aufenthaltsverweigerung im SIS II per 31. März 2023. Soweit sich der Beschwerdeführer auch in diesem Zusammenhang auf sein Wohlverhalten in den vergangenen Jahren beruft, ist auf voranstehende Ausführungen (E. 6) zu verweisen. Die darüber hinaus geltend gemachten Gründe (verwehrte Ferien- und Geschäftsreisen innerhalb Europas, insbesondere nach Italien und Griechenland zum Wareneinkauf für den Betrieb seines Restaurants in Nordmazedonien) schaffen keine neue Ausgangslage, welche Anlass für eine Rücknahme der Ausschreibung des Beschwerdeführers im SIS II zur Einreise- und Aufenthaltsverweigerung geben würde. Die Voraussetzungen für eine Ausschreibung im SIS sind nach wie vor erfüllt. Konstellationen, in denen wiedererwägungsweise geltend gemachte Tatsachen und Umstände zwar die Aufhebung eines nationalen Einreiseverbots nicht rechtfertigen würden, die Löschung der Ausschreibung im SIS hingegen schon, sind überdies grundsätzlich nur in seltenen Ausnahmefällen denkbar (vgl. Urteile des BVGer F-4444/2021 vom 4. Oktober 2022 E. 4.3; F-6955/2015 vom 25. Juli 2016 E. 4.3; vgl. auch BGE 146 IV 172 E. 3.2.1 m.H.; BVGE 2019 VII/2 E. 4).</w:t>
      </w:r>
    </w:p>
    <w:p>
      <w:r>
        <w:rPr>
          <w:b/>
        </w:rPr>
        <w:t>E. 7.2</w:t>
      </w:r>
    </w:p>
    <w:p>
      <w:r>
        <w:t>Der Vollständigkeit halber ist der Beschwerdeführer darauf hinzuweisen, dass die Ausschreibung eines Einreiseverbots im SIS II die Schengen-Mitgliedstaaten nicht daran hindert, der betroffenen Person aus humanitären Gründen 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w:t>
      </w:r>
    </w:p>
    <w:p>
      <w:r>
        <w:rPr>
          <w:b/>
        </w:rPr>
        <w:t>E. 8</w:t>
      </w:r>
    </w:p>
    <w:p>
      <w:r>
        <w:t>Aus den vorstehenden Erwägungen ergibt sich, dass die angefochtene Verfügung im Licht von Art. 49 VwVG per se nicht zu beanstanden ist, wenngleich im Hinblick auf den Grundsatzentscheid BVGE 2021 VII/2 fraglich erscheint, dass die Vorinstanz in ihrer Verfügung materiell auf das Gesuch eingetreten ist. Die Beschwerde ist demzufolge abzuweisen. Eine Kopie der Beschwerde vom 23. Dezember 2022 wird der Vorinstanz gleichzeitig mit der Zustellung des vorliegenden Urteils zur Kenntnis gebracht.</w:t>
      </w:r>
    </w:p>
    <w:p>
      <w:r>
        <w:rPr>
          <w:b/>
        </w:rPr>
        <w:t>E. 9</w:t>
      </w:r>
    </w:p>
    <w:p>
      <w:r>
        <w:t>Bei diesem Ausgang des Verfahrens sind die Verfahrenskosten dem Beschwerdeführer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