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F-5953/2017 vom 11. September 2018</w:t>
      </w:r>
    </w:p>
    <w:p>
      <w:r>
        <w:t>Bundesverwaltungsgericht, 2018-09-11, FR</w:t>
      </w:r>
    </w:p>
    <w:p>
      <w:r>
        <w:rPr>
          <w:b/>
        </w:rPr>
        <w:t xml:space="preserve">Quelle: </w:t>
      </w:r>
      <w:r>
        <w:t>https://mcp.opencaselaw.ch/entscheid/bvger_F-5953_2017</w:t>
      </w:r>
    </w:p>
    <w:p>
      <w:r>
        <w:t>FR: TAF F-5953/2017 du 11 septembre 2018</w:t>
      </w:r>
    </w:p>
    <w:p>
      <w:r>
        <w:t>IT: TAF F-5953/2017 del 11 settembre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B._______ et A._______, qui ont pris part à la procédure devant l'autorité inférieure, ont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allégués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renvoie à l'art. 6 du Règlement [UE] 2016/399 du Parlement européen et du Conseil du 9 mars 2016 concernant un code de l'Union relatif au régime de franchissement des frontières par les personnes (code frontières Schengen, version codifiée ; JO L 77/1 du 23 mars 2016 p. 1-52, modifié par le Règlement [U] 2017/458, JO L 74 du 18 mars 2017, p. 1).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que C._______ est ressortissante du Sri Lanka, elle est soumise à l'obligation de visa.</w:t>
      </w:r>
    </w:p>
    <w:p>
      <w:r>
        <w:rPr>
          <w:b/>
        </w:rPr>
        <w:t>E. 5.1</w:t>
      </w:r>
    </w:p>
    <w:p>
      <w:r>
        <w:t>Dans la décision querellée, l'autorité inférieure a confirmé le refus d'autorisation d'entrée dans l'Espace Schengen prononcé par l'Ambassade de Suisse à Colombo à l'encontre de la prénommée aux motifs que le départ ponctuel de celle-ci de l'Espace Schengen avant l'expiration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ou de la requérante.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5.3</w:t>
      </w:r>
    </w:p>
    <w:p>
      <w:r>
        <w:t>Certes, depuis la fin de la guerre civile en mai 2009, le Sri Lanka a connu une forte croissance économique (cf. Ministère français des affaires étrangères, France-Diplomatie, en ligne sur son site: https://www.diplomatie.gouv.fr &gt; Dossiers pays &gt; Sri Lanka &gt; Présentation du Sri Lanka &gt; situation économique, consulté en août 2018). Il n'en demeure pas moins que ce pays, avec un produit intérieur brut (PIB) par habitant en 2016 de 3835 USD, se situe très en deçà des standards européens, en particulier de celui de la Suisse. A cela s'ajoute que la majeure partie des activités économiques au Sri Lanka se concentre dans la capitale (Colombo) et sa région, et que les revenus sont répartis de manière très inégale dans ce pays, avec de fortes différences suivant les catégories de la population (citadines ou rurales) et les régions. Ainsi, dans les anciennes zones de conflit situées au Nord et à l'Est du pays - qui n'ont pas connu un développement économique comparable à celui de la région de Colombo - de nombreuses personnes vivent au-dessous du seuil de pauvreté (cf. Ministère allemand de la coopération économique et du développement, en ligne sur son site: https://www.bmz.de &gt; Länder &gt; Asien &gt; Sri Lanka &gt; Zusammenarbeit &gt; Situation und Zusammenarbeit &gt; Armut, consulté en août 2018). On relèvera enfin que, sur le plan de l'indice de développement humain (IDH), qui prend en compte la santé, l'éducation et le revenu de la population, le Sri Lanka a été classé en 2016 au 73ème rang sur 188 pays (cf. Programme des Nations Unies pour le développement, en ligne sur son site: http://www.hdr.undp.org &gt; Rapport &gt; Rapport sur le développement humain [RDH] 2016, consulté en août 2018). Enfin, malgré la fin des hostilités, le Sri Lanka était en 2017, le sixième pays de provenance des requérants d'asile sur le territoire helvétique (avec 840 demandes enregistrées en 2017), une situation favorisée par le fait que la Suisse, en comparaison européenne, compte une diaspora tamoule relativement importante et que le Sri Lanka connaît toujours une situation tendue (cf. Commentaire sur les statistiques en matière d'asile 2017 établi par le SEM, en ligne sur son site: https://www.sem.admin.ch &gt; Publications &amp; service &gt; Statistiques en matière d'asile &gt; Archives dès 1994, consulté en août 2018).</w:t>
      </w:r>
    </w:p>
    <w:p>
      <w:r>
        <w:rPr>
          <w:b/>
        </w:rPr>
        <w:t>E. 5.4</w:t>
      </w:r>
    </w:p>
    <w:p>
      <w:r>
        <w:t>Au vu de ces éléments, force de reconnaître que le risque migratoire que présente la requête de visa déposée par C._______ en date du 16 août 2017 ne saurait être sous-estimé. 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6</w:t>
      </w:r>
    </w:p>
    <w:p>
      <w:r>
        <w:t>Il convient dès lors d'examiner si la situation personnelle, familiale, sociale et professionnelle (respectivement financière) de la prénommée plaident en faveur de sa sortie ponctuelle de Suisse (respectivement de l'Espace Schengen) au terme du séjour envisagé.</w:t>
      </w:r>
    </w:p>
    <w:p>
      <w:r>
        <w:rPr>
          <w:b/>
        </w:rPr>
        <w:t>E. 6.1</w:t>
      </w:r>
    </w:p>
    <w:p>
      <w:r>
        <w:t>En l'espèce, il ressort des renseignements qui ont été communiqués aux autorités suisses que C._______, femme au foyer âgée de 59 ans, est mariée et réside avec son conjoint et leur fils âgé de 24 ans dans la maison familiale qui leur appartient, à Kondavil. Cette localité se situe dans la banlieue de Jaffna, au nord du pays, soit dans une zone nettement moins favorisée que la région de Colombo (cf. ch. 5.3 ci-dessus).</w:t>
      </w:r>
    </w:p>
    <w:p>
      <w:r>
        <w:rPr>
          <w:b/>
        </w:rPr>
        <w:t>E. 6.2</w:t>
      </w:r>
    </w:p>
    <w:p>
      <w:r>
        <w:t>En tant que femme au foyer, la prénommée n'exerce pas d'activité lucrative et n'a pas de ressources propres. Elle a certes joint à sa demande d'entrée un extrait de compte bancaire sri lankais mentionnant un solde de 40'625 Roupies en sa faveur (environ 247 francs) au 28 août 2018. Le Tribunal observe cependant que cet extrait de compte bancaire ne permet pas de retenir une fortune importante de l'invitée et aucune indication n'a été fournie quant à ses revenus. Son beau-fils a précisé qu'il supportait tous les coûts liés au voyage et au séjour de C._______ (cf. lettre d'invitation du 9 juillet 2017). Cette circonstance ne parle pas en faveur d'une situation financière confortable de l'invitée (cf. parmi d'autres arrêt du TAF C-4907/2014 du 12 février 2015 consid. 6.4.3). En outre, même si la prénommée relève qu'elle vit avec ses proches dans la maison qui leur appartient (cf. lettre du 21 juillet 2017), aucun titre de propriété de ce bien immobilier n'a été produit, de sorte qu'elle ne peut rien en inférer. Ainsi, aucun élément du dossier ne permet de considérer que la situation matérielle de C._______ se trouverait péjorée si celle-ci prenait la décision de rester sur le territoire suisse à l'expiration de son visa.</w:t>
      </w:r>
    </w:p>
    <w:p>
      <w:r>
        <w:rPr>
          <w:b/>
        </w:rPr>
        <w:t>E. 6.3</w:t>
      </w:r>
    </w:p>
    <w:p>
      <w:r>
        <w:t>S'agissant de ses attaches familiales au Sri Lanka, la prénommée a certes indiqué qu'elle retournerait au pays à l'issue du séjour sollicité pour y retrouver son conjoint et son fils avec lesquels elle vit (engagement écrit du 21 juillet 2017). Par la suite, il a été précisé que le conjoint de C._______ souffrait de diabète, d'hypertension et de cholestérol, que son fils avait également du diabète et que la prénommée les accompagnait chez le médecin pour suivre leur médication et prendre soin d'eux (certificat médical du 30 août 2017). Le Tribunal constate que le diabète est une maladie courante et que le fils de l'intéressée âgé de 24 ans est majeur. Par ailleurs, C._______ souhaite venir en Suisse durant 85 jours, soit durant une longue période, de sorte que sa présence auprès de ses proches ne paraît pas indispensable. Il y a lieu de déduire de ce qui précède que ceux-ci sont en mesure de suivre eux-mêmes leurs traitements médicamenteux et de se prendre en charge pour une période prolongée sans la prénommée. Dès lors, on ne saurait retenir que l'état de santé du conjoint et du fils de C._______ constitue un élément plaidant en faveur d'un retour de l'intéressée au Sri Lanka. Enfin, le Tribunal précise que le fait qu'un invité ait de la famille proche dans son pays d'origine ne suffit pas en soi pour garantir un retour au pays. En effet, C._______ pourrait être tentée de prolonger son séjour en Suisse à l'issue du séjour sollicité pour continuer d'aider sa fille en prenant soin de son petit-fils, ce dernier élément étant d'ailleurs le principal motif invoqué à l'appui de la demande de visa.</w:t>
      </w:r>
    </w:p>
    <w:p>
      <w:r>
        <w:rPr>
          <w:b/>
        </w:rPr>
        <w:t>E. 6.4</w:t>
      </w:r>
    </w:p>
    <w:p>
      <w:r>
        <w:t>Cela étant, aucun élément du dossier ne permet de considérer que l'invitée dispose de responsabilités importantes au Sri Lanka en particulier sur le plan familial, pouvant l'inciter à y retourner ou que sa situation matérielle se trouverait péjorée si elle prenait la décision de demeurer sur le territoire suisse à l'expiration de son visa. Dans ce contexte, la qualité de vie et la situation socio-économique prévalant en Suisse sont autant de facteurs susceptibles d'inciter la requérante, une fois arrivée en ce pays, à y poursuivre son séjour, ne serait-ce que temporairement.</w:t>
      </w:r>
    </w:p>
    <w:p>
      <w:r>
        <w:rPr>
          <w:b/>
        </w:rPr>
        <w:t>E. 7</w:t>
      </w:r>
    </w:p>
    <w:p>
      <w:r>
        <w:t>Le Tribunal relève également qu'un refus d'autorisation d'entrée dans l'Espace Schengen prononcé par les autorités helvétiques n'a pas en l'occurrence pour conséquence d'empêcher les intéressés de se voir, dès lors qu'ils peuvent tout aussi bien se rencontrer hors de Suisse. Par ailleurs, les recourants n'ont pas invoqué de raisons susceptibles de justifier la délivrance d'un visa à validité territoriale limitée (cf. consid. 4.2 ci-avant). Sans pour autant minimiser l'importance des raisons d'ordre affectif qui motivent sa demande, le Tribunal ne saurait admettre, au vu de l'ensemble des éléments du dossier, que le retour de C._______ dans sa patrie au terme de l'autorisation requise puisse être considéré comme suffisamment assuré. Les conditions d'entrée prévues par le code frontières Schengen concernant la garantie que l'intéressé quittera la Suisse dans le délai fixé n'étant pas remplies in casu, c'est donc de manière fondée que l'autorité de première instance a écarté l'opposition du 27 août 2017 et confirmé le refus d'octroyer à la prénommée une autorisation d'entrée dans l'Espace Schengen.</w:t>
      </w:r>
    </w:p>
    <w:p>
      <w:r>
        <w:rPr>
          <w:b/>
        </w:rPr>
        <w:t>E. 8</w:t>
      </w:r>
    </w:p>
    <w:p>
      <w:r>
        <w:t>Il s'ensuit que, par sa décision du 10 octobre 2017,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