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F-5943/2024 vom 25. September 2025</w:t>
      </w:r>
    </w:p>
    <w:p>
      <w:r>
        <w:t>Bundesverwaltungsgericht, 2025-09-25, DE</w:t>
      </w:r>
    </w:p>
    <w:p>
      <w:r>
        <w:rPr>
          <w:b/>
        </w:rPr>
        <w:t xml:space="preserve">Quelle: </w:t>
      </w:r>
      <w:r>
        <w:t>https://mcp.opencaselaw.ch/entscheid/bvger_F-5943_2024</w:t>
      </w:r>
    </w:p>
    <w:p>
      <w:r>
        <w:t>FR: TAF F-5943/2024 du 25 septembre 2025</w:t>
      </w:r>
    </w:p>
    <w:p>
      <w:r>
        <w:t>IT: TAF F-5943/2024 del 25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3.1</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Niederlande haben der Wiederaufnahme des Beschwerdeführers vorbehaltlos zugestimmt. Deren grundsätzliche Zuständigkeit ist gegeben, die Vorinstanz hat die Dublin-III-VO korrekt angewendet.</w:t>
      </w:r>
    </w:p>
    <w:p>
      <w:r>
        <w:rPr>
          <w:b/>
        </w:rPr>
        <w:t>E. 3.2</w:t>
      </w:r>
    </w:p>
    <w:p>
      <w:r>
        <w:t>Es ist festzuhalten, dass die Dublin-III-VO den Schutzsuchenden kein Recht einräumt, den ihren Antrag prüfenden Staat selber auszuwählen (vgl. BVGE 2010/45 E. 8.3).</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4.2</w:t>
      </w:r>
    </w:p>
    <w:p>
      <w:r>
        <w:t>Der Beschwerdeführer macht geltend, er leide seit über zehn Jahren an einer schmerzhaften (...), welche dringend weiterer Abklärungen und Behandlungen bedürfe. Aufgrund des (...) sei eine Operation notwendig. Er sei an (...) überwiesen und Behandlungsschritte seien eingeleitet worden; der ausführliche Bericht sei noch ausstehend. Eine Rückweisung in die Niederlande würde einen Abbruch der medizinischen Behandlung bedeuten, was für ihn äusserst einschneidend wäre. Zudem verschlechtere sich seine psychische Verfassung zunehmend und seine Schlafstörungen seien so schlimm, dass er nachts aufwache und nicht wisse, wo er sich befinde.</w:t>
      </w:r>
    </w:p>
    <w:p>
      <w:r>
        <w:rPr>
          <w:b/>
        </w:rPr>
        <w:t>E. 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4.4</w:t>
      </w:r>
    </w:p>
    <w:p>
      <w:r>
        <w:t>Während seines Aufenthalts im BAZ wurde beim Beschwerdeführer ein (...) diagnostiziert. Er erklärte, dass er bereits seit zehn Jahren an (...) leide. Dem Bericht von Medic-Help ist zu entnehmen, dass er an (...) überwiesen wurde (SEM-Akten pag. 1344474-25/2). Der untersuchende Arzt hielt in einer E-Mail vom 12. September 2024 seine Diagnose fest und teilte mit, bei Bedarf sei ein ausführlicher Bericht vorhanden. Ein genauer Behandlungsplan war noch nicht ausgearbeitet worden (BVGer act. 1 Beilage 3). Hinweise darauf, dass eine verzögerte - erst in den Niederlanden begonnene Behandlung - seine Lebenserwartung erheblich verkürzen würde, liegen nicht vor. Demnach vermag der Gesundheitszustand des Beschwerdeführers die Feststellung der Unzulässigkeit im Sinne der erwähnten restriktiven Rechtsprechung nicht zu rechtfertigen. Die gesundheitlichen Probleme sind auch nicht von einer derartigen Schwere, dass aus humanitären Gründen von einer Überstellung abgesehen werden müsste. Im Übrigen ist allgemein bekannt, dass die Niederlande über eine ausreichende medizinische Infrastruktur verfügen. Die Mitgliedstaaten sind verpflichtet, den Antragstellern die erforderliche medizinische Versorgung, die zumindest die Notversorgung und die unbedingt erforderliche Behandlung von Krankheiten und schweren psychischen Störungen umfasst, zugänglich zu machen (Art. 19 Abs. 1 Richtlinie des Europäischen Parlaments und des Rates 2013/33/EU vom 26. Juni 2013 zur Festlegung von Normen für die Aufnahme von Personen, die internationalen Schutz beantragen [sog. Aufnahmerichtlinie]). Antragstellern mit besonderen Bedürfnissen ist die erforderliche medizinische oder sonstige Hilfe (einschliesslich nötigenfalls einer geeigneten psychologischen Betreuung) zu gewähren (Art. 19 Abs. 2 Aufnahmerichtlinie). Es liegen keine Hinweise vor, wonach dem Beschwerdeführer eine adäquate medizinische Behandlung verweigert würde. Die schweizerischen Behörden, die mit dem Vollzug der angefochtenen Verfügung beauftragt sind, werden den medizinischen Umständen bei der Bestimmung der konkreten Modalitäten der Überstellung des Beschwerdeführers Rechnung tragen und die niederländischen Behörden vorgängig in geeigneter Weise über die spezifischen medizinischen Umstände informieren (vgl. Art. 31 f. Dublin-III-VO).</w:t>
      </w:r>
    </w:p>
    <w:p>
      <w:r>
        <w:rPr>
          <w:b/>
        </w:rPr>
        <w:t>E. 5</w:t>
      </w:r>
    </w:p>
    <w:p>
      <w:r>
        <w:t>Die Vorinstanz ist zu Recht auf das Asylgesuch des Beschwerdeführers nicht eingetreten und hat die Wegweisung in die Niederlande angeordnet. Eine Fehlerhafte Anwendung der Dublin-III-VO liegt nicht vor. Die Beschwerde ist abzuweisen.</w:t>
      </w:r>
    </w:p>
    <w:p>
      <w:r>
        <w:rPr>
          <w:b/>
        </w:rPr>
        <w:t>E. 6</w:t>
      </w:r>
    </w:p>
    <w:p>
      <w:r>
        <w:t>Mit dem Entscheid in der Hauptsache sind die Gesuche um Erteilung der aufschiebenden Wirkung und um Verzicht auf die Erhebung eines Kostenvorschusses gegenstandslos geworden. Der am 23. September 2024 verfügte einstweilige Vollzugsstopp fällt mit dem vorliegenden Urteil dahin.</w:t>
      </w:r>
    </w:p>
    <w:p>
      <w:r>
        <w:rPr>
          <w:b/>
        </w:rPr>
        <w:t>E. 7</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