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F-593/2022 vom 10. Februar 2022</w:t>
      </w:r>
    </w:p>
    <w:p>
      <w:r>
        <w:t>Bundesverwaltungsgericht, 2022-02-10, FR</w:t>
      </w:r>
    </w:p>
    <w:p>
      <w:r>
        <w:rPr>
          <w:b/>
        </w:rPr>
        <w:t xml:space="preserve">Quelle: </w:t>
      </w:r>
      <w:r>
        <w:t>https://mcp.opencaselaw.ch/entscheid/bvger_F-593_2022</w:t>
      </w:r>
    </w:p>
    <w:p>
      <w:r>
        <w:t>FR: TAF F-593/2022 du 10 février 2022</w:t>
      </w:r>
    </w:p>
    <w:p>
      <w:r>
        <w:t>IT: TAF F-593/2022 del 10 febbraio 2022</w:t>
      </w:r>
    </w:p>
    <w:p>
      <w:pPr>
        <w:pStyle w:val="Heading2"/>
      </w:pPr>
      <w:r>
        <w:t>Regeste</w:t>
      </w:r>
    </w:p>
    <w:p>
      <w:r>
        <w:t>Asile (non-entrée en matière / procédure Dublin) et renvoi</w:t>
      </w:r>
    </w:p>
    <w:p>
      <w:pPr>
        <w:pStyle w:val="Heading2"/>
      </w:pPr>
      <w:r>
        <w:t>Erwägungen</w:t>
      </w:r>
    </w:p>
    <w:p>
      <w:r>
        <w:rPr>
          <w:b/>
        </w:rPr>
        <w:t>E. 21</w:t>
      </w:r>
    </w:p>
    <w:p>
      <w:r>
        <w:t>octobre 2021, que, le 24 novembre 2021, le SEM a dès lors soumis aux autorités alle- mandes compétentes, dans le délai fixé à l’art. 21 par. 1 du règlement Du- blin III, une requête aux fins de prise en charge du recourant, que les autorités allemandes ont expressément accepté, le 25 novembre 2021, de prendre en charge le recourant, sur la base de l’art. 12 par. 2 du règlement Dublin III et ont ainsi reconnu leur compétence pour traiter la demande d’asile de l’intéressé, que ce point n’est pas contesté dans la présente procédure de recours, que, dans son pourvoi, le recourant s’oppose à son transfert en Allemagne exclusivement pour des motifs médicaux, fondés sur sa volonté de bénéfi- cier d’un suivi médical de préférence en Suisse plutôt qu’en Allemagne, que le Tribunal constate d’abord qu’il n'y a aucune sérieuse raison de croire qu'il existe, en Allemagne, des défaillances systémiques dans la procédure</w:t>
      </w:r>
    </w:p>
    <w:p>
      <w:r>
        <w:t>F-593/2022 Page 7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 ture, RS 0.105) et, à ce titre, en applique les dispositions, que, dans ces conditions, cet Etat est présumé respecter la sécurité des demandeurs d’asile, en particulier leur droit à l’examen, selon une procé- dure juste et équitable, de leur demande, et leur garantir une protection conforme au droit international et au droit européen (cf. directive no 2013/32/UE du Parlement européen et du Conseil du 26 juin 2013 rela- 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 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 traînant des souffrances intenses ou à une réduction significative de son espérance de vie, que, comme l’a précisé la Cour EDH, il ne s’agit dès lors pas de déterminer si l’étranger bénéficiera, dans le pays de renvoi, de soins équivalents à</w:t>
      </w:r>
    </w:p>
    <w:p>
      <w:r>
        <w:t>F-593/2022 Page 8 ceux dispensés dans le pays d’accueil, mais d’examiner si le degré de gra- vité qu’implique le renvoi atteint le seuil consacré à l’art. 3 CEDH, soit un engagement du pronostic vital ou un déclin grave, rapide et irréversible de la santé tant psychique que physique (cf. notamment ATAF 2017 VI/7 con- sid. 6.2 et la jurisprudence citée), qu’en l’espèce, sans vouloir minimiser les affections à la santé alléguées par le recourant, le Tribunal estime que les problèmes médicaux qu’il a soulevés n’atteignent pas le niveau de gravité requis par l’art. 3 CEDH et la jurisprudence restrictive applicable en la matière, qu’en effet, aucun élément au dossier ne permet d’inférer qu’en cas de transfert vers l’Allemagne l’intéressé risque d'y être exposé à un déclin grave, rapide et irréversible de son état de santé, qu’au surplus, aucun des documents médicaux produits avec le recours n’établit la situation médicale actuelle de l’intéressé, que le recourant n’a ainsi pas établi que la poursuite de son suivi médical devrait impérativement s’opérer en Suisse plutôt qu’en Allemagne, que ce pays dispose au demeurant de structures médicales d’un niveau comparable à celles existant en Suisse, que le recourant n’a par ailleurs pas établi qu’il ne serait pas en mesure de voyager ou que son transfert en Allemagne représenterait un danger con- cret pour leur santé et serait ainsi illicite au sens de l’art. 3 CEDH ou encore des art. 3, 14 et 16 Conv. torture, qu’en tout état de cause, l’Allemagne est liée par la directive Accueil, et doit ainsi faire en sorte que les demandeurs d'asile reçoivent les soins médi- caux nécessaires qui comportent, au minimum, les soins urgents et le trai- tement essentiel des maladies, et fournir l'assistance médicale ou autre nécessaire aux demandeurs ayant des besoins particuliers en matière d'accueil (art. 19 par. 1 et 2 de ladite directive), qu'au demeurant, si - après son transfert en Allemagne - le recourant devait être contraint par les circonstances à mener une existence non conforme à la dignité humaine ou s’il devait estimer que ce pays viole ses obligations d'assistance à son encontre, notamment en ce qui concerne l’octroi d’un encadrement médical adéquat, il leur appartiendrait de faire valoir ses droits directement auprès des autorités allemandes en usant des voies de droit adéquates (cf. art. 26 de la directive Accueil),</w:t>
      </w:r>
    </w:p>
    <w:p>
      <w:r>
        <w:t>F-593/2022 Page 9 qu’au demeurant, rien ne permet d'admettre que l’Allemagne refuserait ou renoncerait à une prise en charge médicale adéquate de l’intéressé, qu’au regard de la pathologie cardiaque invoquée par le recourant, il in- combera toutefois aux autorités suisses chargées de l’exécution du trans- fert de transmettre aux autorités allemandes les renseignements néces- saires (soit la médication actuelle de la pathologie cardiaque de l’intéressé) permettant une prise en charge adaptée du recourant à son arrivée en Al- lemagne (cf. art. 31 et 32 du règlement Dublin III), qu'au regard de l’ensemble des éléments qui précèdent, il n'y a donc pas lieu de faire application de la clause discrétionnaire de l'art. 17 par. 1 du règlement Dublin III en relation avec l'art. 3 CEDH, voire avec les art. 3, 14 et 16 de la Conv. torture, que, enfin, le Tribunal constate que le SEM a établi de manière complète et exacte l'état de fait pertinent et n'a commis ni excès ni abus de son large pouvoir d'appréciation en refusant d'admettre l'existence de raisons huma- nitaires au sens de l'art. 29a al. 3 OA 1 en combinaison avec l'art. 17 par. 1 du règlement Dublin III (cf. ATAF 2015/9 consid. 8), nonobstant la préfé- rence marquée par le recourant de voir sa demande d'asile examinée par la Suisse, qu'à cet égard, il est rappelé que le règlement Dublin III ne lui confère pas le droit de choisir l'Etat membre offrant, à son avis, les meilleures condi- 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l’Allemagne, en ap- 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w:t>
      </w:r>
    </w:p>
    <w:p>
      <w:r>
        <w:t>F-593/2022 Page 10 qu'il est dès lors renoncé à un échange d'écritures, le présent arrêt n'étant motivé que sommairement (cf. art. 111a al. 1 et 2 LAsi), que les conclusions du recours étant d’emblée vouées à l’échec, la requête d’assistance judiciaire totale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F-593/2022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