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F-5939/2024 vom 25. September 2024</w:t>
      </w:r>
    </w:p>
    <w:p>
      <w:r>
        <w:t>Bundesverwaltungsgericht, 2024-09-25, DE</w:t>
      </w:r>
    </w:p>
    <w:p>
      <w:r>
        <w:rPr>
          <w:b/>
        </w:rPr>
        <w:t xml:space="preserve">Quelle: </w:t>
      </w:r>
      <w:r>
        <w:t>https://mcp.opencaselaw.ch/entscheid/bvger_F-5939_2024</w:t>
      </w:r>
    </w:p>
    <w:p>
      <w:r>
        <w:t>FR: TAF F-5939/2024 du 25 septembre 2024</w:t>
      </w:r>
    </w:p>
    <w:p>
      <w:r>
        <w:t>IT: TAF F-5939/2024 del 25 settembre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 und die Sachurteilsvoraussetzungen sind erfüllt, so dass auf die Beschwerde einzutreten ist (Art. 48 Abs. 1 VwVG, Art. 108 Abs. 3 AsylG und Art. 52 Abs. 1 VwVG). Das Gericht entscheidet über die Beschwerde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12 Abs. 1 Dublin-III-VO grundsätzlich Deutschland für die Behandlung des Asylgesuchs der Beschwerdeführerin zuständig ist, dass das deutsche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namentlich die Vorbringen der Beschwerdeführerin im Hinblick auf den von ihr zur Anzeige gebrachten Mordversuch und das Stalking in Deutschland sowie auf ihre gesundheitlichen Beeinträchtigungen (gemäss vorläufigem Untersuchungsbericht des Kantonsspitals B._______, vom 9. September 2024: unklarer Bewusstseinsverlust, Verdacht auf Anpassungsstörung, differenzialdiagnostisch beginnende Psychose, soziale Belastungssituation) berücksichtigt und rechtsprechungskonform gewürdigt. Des Weiteren hat die Vorinstanz korrekt festgehalten, dass sich aus der Anwesenheit des Onkels in der Schweiz keine Zuständigkeit der Schweiz ableiten lässt (weder nach Art. 2 Bst. g noch nach Art. 16 Abs. 1 Dublin-III-VO). Darüber hinaus hat die Vorinstanz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der Beschwerdeführerin nicht eingetreten und hat in Anwendung von Art. 44 AsylG ihre Wegweisung nach Deutschland angeordnet. Zur näheren Begründung wird auf die Erwägungen der Vorinstanz verwiesen.</w:t>
      </w:r>
    </w:p>
    <w:p>
      <w:r>
        <w:rPr>
          <w:b/>
        </w:rPr>
        <w:t>E. 2.2</w:t>
      </w:r>
    </w:p>
    <w:p>
      <w:r>
        <w:t>Was die Beschwerdeführerin auf Rechtsmittelebene vorbringt, vermag an der Richtigkeit der angefochtenen Verfügung nichts zu ändern. Namentlich bringt sie in Bezug auf den Mordversuch sowie das Stalking nichts Neues vor. Der Beschwerdeführerin kann sodann auch nicht gefolgt werden, wenn sie sinngemäss rügt, aufgrund ihrer psychischen Probleme könne eine Überstellung nach Deutschland nicht erfolgen. Aufgrund ihrer Angaben sowie der medizinischen Berichte vom 5., 9., 14. und 15. September 2024 sind die gesundheitlichen Leiden der Beschwerdeführerin aufgrund ihres Schweregrads und der weiteren Umstände des vorliegenden Falls nicht geeignet, einen Selbsteintritt der Schweiz bei pflichtgemässer Ermessensausübung geboten oder gar völkerrechtlich zwingend erscheinen zu lassen (vgl. dazu auch BVGE 2011/9 E. 7 m.w.H. und Urteil des EGMR Paposhvili gegen Belgien vom 13. Dezember 2016, Grosse Kammer, Nr. 41738/10, §§ 180-193, bestätigt durch Urteil des EGMR Savran gegen Dänemark vom 7. Dezember 2021, Grosse Kammer, Nr. 57467/15, §§ 121 ff., wonach zwangsweise Rückweisungen von Personen mit gesundheitlichen Problemen nur ganz ausnahmsweise einen Verstoss gegen Art. 3 EMRK darstellen können). Sodann greifen auch ihre Ausführungen in Bezug auf eine bestehende Abhängigkeit zu ihrem in der Schweiz lebenden Onkel bereits deshalb nicht, weil dieses Verwandtschaftsverhältnis nicht von Art. 16 Abs. 1 Dublin-III-VO erfasst ist.</w:t>
      </w:r>
    </w:p>
    <w:p>
      <w:r>
        <w:rPr>
          <w:b/>
        </w:rPr>
        <w:t>E. 3</w:t>
      </w:r>
    </w:p>
    <w:p>
      <w:r>
        <w:t>Nach dem Gesagten ist die angefochtene Verfügung vom 10. September 2024 nicht zu beanstanden und die Beschwerde ist abzuweisen.</w:t>
      </w:r>
    </w:p>
    <w:p>
      <w:r>
        <w:rPr>
          <w:b/>
        </w:rPr>
        <w:t>E. 4</w:t>
      </w:r>
    </w:p>
    <w:p>
      <w:r>
        <w:t>Mit vorliegendem Urteil fällt der am 23. September 2024 angeordnete Vollzugsstopp dahin.</w:t>
      </w:r>
    </w:p>
    <w:p>
      <w:r>
        <w:rPr>
          <w:b/>
        </w:rPr>
        <w:t>E. 5</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