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F-5937/2025 vom 14. August 2025</w:t>
      </w:r>
    </w:p>
    <w:p>
      <w:r>
        <w:t>Bundesverwaltungsgericht, 2025-08-14, FR</w:t>
      </w:r>
    </w:p>
    <w:p>
      <w:r>
        <w:rPr>
          <w:b/>
        </w:rPr>
        <w:t xml:space="preserve">Quelle: </w:t>
      </w:r>
      <w:r>
        <w:t>https://mcp.opencaselaw.ch/entscheid/bvger_F-5937_2025</w:t>
      </w:r>
    </w:p>
    <w:p>
      <w:r>
        <w:t>FR: TAF F-5937/2025 du 14 août 2025</w:t>
      </w:r>
    </w:p>
    <w:p>
      <w:r>
        <w:t>IT: TAF F-5937/2025 del 14 agosto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aucun nouvel examen de la compétence selon ledit chapitre, sous réserve des situations prévues à l'art. 7 par. 3 RD III (en lien avec les critères de détermination visés aux art. 8, 10 et 16 RD III) et à l'art. 20 par. 5 RD III (cf. ATAF 2019 VI/7 consid. 6.4.1.3 ; 2017 VI/5 consid. 6.2 et 8.2.1). A cet égard, le Tribunal relève que la fiancée alléguée du recourant est titulaire d'une autorisation de séjour en Suisse (cf. dossier [...]) et que la relation invoquée n'entre pas dans la définition de « membres de la famille » prévue à l'art. 2 let. g RD III. Ainsi, l'éventuelle incidence de la relation avec dite fiancée ne sera examinée que sous l'angle de l'art. 8 par. 1 CEDH (RS 0.101 ; cf. infra, consid. 3.3).</w:t>
      </w:r>
    </w:p>
    <w:p>
      <w:r>
        <w:rPr>
          <w:b/>
        </w:rPr>
        <w:t>E. 2.3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2.4</w:t>
      </w:r>
    </w:p>
    <w:p>
      <w:r>
        <w:t>En l'occurrence, à la suite de la requête soumise par le SEM dans le délai prévu à l'art. 23 par. 2 RD III, les autorités françaises compétentes ont expressément accepté de reprendre en charge l'intéressé dans le délai fixé à l'art. 25 par. 1 RD III. Ainsi, la France a reconnu sa compétence pour traiter la demande d'asile du recourant. Ce dernier a du reste explicitement indiqué ne pas contester, sur le principe, dite responsabilité.</w:t>
      </w:r>
    </w:p>
    <w:p>
      <w:r>
        <w:rPr>
          <w:b/>
        </w:rPr>
        <w:t>E. 2.5</w:t>
      </w:r>
    </w:p>
    <w:p>
      <w:r>
        <w:t>Par ailleurs, les arguments invoqués par le recourant quant à un risque de refoulement en chaîne après son transfert en France sont sans pertinence sur l'issue de la présente cause. En effet, le SEM ayant constaté, à bon droit, que cet Etat était responsable de la procédure d'asile de l'intéressé et dans la mesure où il est notoire que celle-ci y est exempte de défaillances systémiques (cf. p.ex. arrêts du TAF F-4926/2025 du 8 juillet 2025 ; F-4466/2025 du 4 juillet 2025), il n'appartient pas aux autorités suisses de se prononcer sur la question d'une éventuelle violation du principe de non-refoulement (cf. arrêt de la CJUE du 30 novembre 2023, affaires jointes C-228/21, C-254/21, C-297/21 et C-281/21, points 129 à 142 et ch. 2 du dispositif, ECLI:EU:C:2023:934).</w:t>
      </w:r>
    </w:p>
    <w:p>
      <w:r>
        <w:rPr>
          <w:b/>
        </w:rPr>
        <w:t>E. 3.1</w:t>
      </w:r>
    </w:p>
    <w:p>
      <w:r>
        <w:t>Pour s'opposer à son transfert, l'intéressé a, en substance, fait valoir la présence de sa fiancée en Suisse.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3.3.1</w:t>
      </w:r>
    </w:p>
    <w:p>
      <w:r>
        <w:t>Le Tribunal relève qu'un étranger peut, selon les circonstances, se prévaloir de l'art. 8 par. 1 CEDH pour s'opposer à une éventuelle séparation de sa famille. D'après une jurisprudence constante, les relations visées par cette norme sont avant tout celles qui concernent la famille dite nucléaire, soit celles qui existent entre époux ainsi qu'entre parents et enfants mineurs vivant en ménage commun (cf. ATF 144 II 1 consid. 6.1 ; arrêt du Tribunal fédéral [ci-après : TF] 2C_976/2019 du 24 février 2020 consid. 4.1).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arrêts du TF 2C_584/2022 du 29 juillet 2022 consid. 3.1 ; 2C_722/2019 du 2 septembre 2019 consid. 4.1).</w:t>
      </w:r>
    </w:p>
    <w:p>
      <w:r>
        <w:rPr>
          <w:b/>
        </w:rPr>
        <w:t>E. 3.3.2</w:t>
      </w:r>
    </w:p>
    <w:p>
      <w:r>
        <w:t>En l'espèce, le recourant a exposé, lors de l'entretien Dublin, avoir fait connaissance avec sa fiancée par téléphone cinq ou six mois plus tôt, l'avoir rencontrée à son arrivée en Suisse et y avoir entamé une procédure de mariage. A l'appui du recours, il a ajouté voir sa fiancée les week-ends, que celle-ci contribuait à certaines de ses dépenses et qu'il risquait, en cas de retour en France en qualité de requérant d'asile débouté, d'être renvoyé vers son pays d'origine, respectivement de s'y retrouver en situation illégale, ce qui mettrait en péril leur projet de mariage. Il ressort certes du dossier qu'une procédure préparatoire de mariage a été initiée en Suisse le 26 juin 2025. Rien ne permet toutefois d'admettre qu'un mariage serait imminent, l'Office de l'état civil compétent s'étant limité à indiquer, en date du 8 août 2025, que certains documents avaient déjà été déposés et que la procédure suivait actuellement son cours. Même s'il est tout à fait compréhensible que les intéressés souhaitent continuer à pouvoir vivre dans le même pays, il n'y a pas lieu de considérer que leur relation - dans le cadre de laquelle ils se sont rencontrés physiquement pour la première fois il y a deux mois et n'ont jamais fait vie commune - a atteint le degré de stabilité et d'intensité requis pour pouvoir être assimilée à une union conjugale ni qu'elle reflète des liens personnels étroits, au sens de la jurisprudence précitée. Au demeurant, il sera loisible au recourant de poursuivre les démarches relatives à la procédure préparatoire de mariage depuis l'étranger, respectivement de solliciter, tel qu'évoqué dans le mémoire, une autorisation de séjour en vue du mariage. S'agissant de l'octroi d'un éventuel délai pour déposer une telle demande, force est de constater que celle-ci peut être introduite par la fiancée putative de l'intéressé et qu'il s'agit une procédure indépendante de la présente procédure d'asile, qui ne relève de surcroît pas de la compétence du TAF.</w:t>
      </w:r>
    </w:p>
    <w:p>
      <w:r>
        <w:rPr>
          <w:b/>
        </w:rPr>
        <w:t>E. 3.3.3</w:t>
      </w:r>
    </w:p>
    <w:p>
      <w:r>
        <w:t>Le recourant ne pouvant se prévaloir d'une vie familiale protégée par l'art. 8 CEDH, son transfert vers la France n'emporte pas violation de cette disposition.</w:t>
      </w:r>
    </w:p>
    <w:p>
      <w:r>
        <w:rPr>
          <w:b/>
        </w:rPr>
        <w:t>E. 3.4</w:t>
      </w:r>
    </w:p>
    <w:p>
      <w:r>
        <w:t>Il s'ensuit que le transfert de l'intéressé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Au vu de ce qui précède,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la requête tendant à l'octroi de l'effet suspensif est sans objet. En outre, le litige prenant fin, les mesures superprovisionnelles prononcées le 8 août 2025 sont caduques.</w:t>
      </w:r>
    </w:p>
    <w:p>
      <w:r>
        <w:rPr>
          <w:b/>
        </w:rPr>
        <w:t>E. 6</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Celui-ci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