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F-5924/2020 vom 7. Juli 2022</w:t>
      </w:r>
    </w:p>
    <w:p>
      <w:r>
        <w:t>Bundesverwaltungsgericht, 2022-07-07, FR</w:t>
      </w:r>
    </w:p>
    <w:p>
      <w:r>
        <w:rPr>
          <w:b/>
        </w:rPr>
        <w:t xml:space="preserve">Quelle: </w:t>
      </w:r>
      <w:r>
        <w:t>https://mcp.opencaselaw.ch/entscheid/bvger_F-5924_2020</w:t>
      </w:r>
    </w:p>
    <w:p>
      <w:r>
        <w:t>FR: TAF F-5924/2020 du 7 juillet 2022</w:t>
      </w:r>
    </w:p>
    <w:p>
      <w:r>
        <w:t>IT: TAF F-5924/2020 del 7 luglio 2022</w:t>
      </w:r>
    </w:p>
    <w:p>
      <w:pPr>
        <w:pStyle w:val="Heading2"/>
      </w:pPr>
      <w:r>
        <w:t>Regeste</w:t>
      </w:r>
    </w:p>
    <w:p>
      <w:r>
        <w:t>Assistance administrative</w:t>
      </w:r>
    </w:p>
    <w:p>
      <w:pPr>
        <w:pStyle w:val="Heading2"/>
      </w:pPr>
      <w:r>
        <w:t>Erwägungen</w:t>
      </w:r>
    </w:p>
    <w:p>
      <w:r>
        <w:rPr>
          <w:b/>
        </w:rPr>
        <w:t>E. 5.1</w:t>
      </w:r>
    </w:p>
    <w:p>
      <w:r>
        <w:t>Pour ce qui est des questions de fond, les recourants allèguent en premier lieu une violation du droit à la sphère privée, arguant que les informations que l'AFC envisage de transmettre à l'autorité fiscale française seraient protégées par l'art. 8 CEDH.</w:t>
      </w:r>
    </w:p>
    <w:p>
      <w:r>
        <w:rPr>
          <w:b/>
        </w:rPr>
        <w:t>E. 5.1.1</w:t>
      </w:r>
    </w:p>
    <w:p>
      <w:r>
        <w:t>La remise de données bancaires peut certes constituer une atteinte au droit à la protection de la vie privée consacré à l'art. 8 CEDH ainsi qu'à l'art. 13 Cst.. Ce droit n'est cependant pas absolu et une ingérence est possible à condition qu'elle soit prévue par la loi, qu'il existe un intérêt public à la remise des données et que la mesure soit conforme au principe de la proportionnalité (cf. ATF 139 II 404 consid. 7.1 et les références citées).</w:t>
      </w:r>
    </w:p>
    <w:p>
      <w:r>
        <w:rPr>
          <w:b/>
        </w:rPr>
        <w:t>E. 5.1.2</w:t>
      </w:r>
    </w:p>
    <w:p>
      <w:r>
        <w:t>Or, selon la jurisprudence claire et constante du Tribunal de céans, la protection consacrée à l'art. 8 CEDH ne saurait faire obstacle à l'octroi de l'assistance en l'espèce, étant donné que les conditions justifiant une ingérence dans le droit au respect de la vie privée décrites ci-avant sont manifestement réalisées (cf. à cet égard notamment les arrêts du TAF A-641/2021 du 5 octobre 2021 consid. 8.2, A-2961/2020 du 7 juillet 2021 consid. 11.1, A-5597/2016 du 28 février 2018 consid. 5.5.5 et A-5506/2015 du 31 octobre 2016 consid. 6.4).</w:t>
      </w:r>
    </w:p>
    <w:p>
      <w:r>
        <w:rPr>
          <w:b/>
        </w:rPr>
        <w:t>E. 5.1.3</w:t>
      </w:r>
    </w:p>
    <w:p>
      <w:r>
        <w:t>De plus, les recourants ne font pas valoir ici de circonstances particulières susceptibles d'entraîner une violation de cet article, étant précisé que les arguments concernant la pêche aux renseignements, ainsi que la demande basée sur des données volées soulevés dans ce contexte seront examinés de manière plus approfondie dans le considérants 5.2 et 5.3 ci-après.</w:t>
      </w:r>
    </w:p>
    <w:p>
      <w:r>
        <w:rPr>
          <w:b/>
        </w:rPr>
        <w:t>E. 5.1.4</w:t>
      </w:r>
    </w:p>
    <w:p>
      <w:r>
        <w:t>En conséquence, le grief tiré de la violation du droit au respect de la vie privée garanti à l'art. 8 CEDH respectivement à l'art. 13 Cst. est rejeté.</w:t>
      </w:r>
    </w:p>
    <w:p>
      <w:r>
        <w:rPr>
          <w:b/>
        </w:rPr>
        <w:t>E. 5.2</w:t>
      </w:r>
    </w:p>
    <w:p>
      <w:r>
        <w:t>Sur un autre plan, les recourants estiment que la demande du 11 mai 2016 constitue une pêche aux renseignements, dès lors que les éléments à disposition de l'AFC ne permettent pas de supposer que les contribuables concernés n'auraient pas rempli leurs obligations fiscales.</w:t>
      </w:r>
    </w:p>
    <w:p>
      <w:r>
        <w:rPr>
          <w:b/>
        </w:rPr>
        <w:t>E. 5.2.1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5.2.2</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5.2.1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5.2.3</w:t>
      </w:r>
    </w:p>
    <w:p>
      <w:r>
        <w:t>Au vu de tout ce qui précède, le grief invoqué par les recourants doit être rejeté.</w:t>
      </w:r>
    </w:p>
    <w:p>
      <w:r>
        <w:rPr>
          <w:b/>
        </w:rPr>
        <w:t>E. 5.3</w:t>
      </w:r>
    </w:p>
    <w:p>
      <w:r>
        <w:t>Au moyen d'un troisième grief, les recourants reprochent à l'autorité inférieure d'accéder à une demande d'assistance basée sur des données volées, en violation du principe de la bonne foi et de l'art. 7 let. c LAAF.</w:t>
      </w:r>
    </w:p>
    <w:p>
      <w:r>
        <w:rPr>
          <w:b/>
        </w:rPr>
        <w:t>E. 5.3.1</w:t>
      </w:r>
    </w:p>
    <w:p>
      <w:r>
        <w:t>Cette question juridique n'ayant pas été traitée dans l'ATF 146 II 150, il convient par conséquent de l'examiner plus en détail dans la présente cause.</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à Francfort. Le serveur de sauvegarde comprenait des sauvegardes des ordinateurs des employés de X._______,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à Francfort et auprès d'autres sites de X._______ en Allemagne. Lors de la perquisition au siège de la banque X._______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5.3.3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w:t>
      </w:r>
    </w:p>
    <w:p>
      <w:r>
        <w:rPr>
          <w:b/>
        </w:rPr>
        <w:t>E. 5.3.3.1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5.3.3.2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5.3.4</w:t>
      </w:r>
    </w:p>
    <w:p>
      <w:r>
        <w:t>En conséquence, le grief tiré de la violation du principe de la bonne foi doit également être écarté.</w:t>
      </w:r>
    </w:p>
    <w:p>
      <w:r>
        <w:rPr>
          <w:b/>
        </w:rPr>
        <w:t>E. 6.1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