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F-5916/2024 vom 30. September 2024</w:t>
      </w:r>
    </w:p>
    <w:p>
      <w:r>
        <w:t>Bundesverwaltungsgericht, 2024-09-30, DE</w:t>
      </w:r>
    </w:p>
    <w:p>
      <w:r>
        <w:rPr>
          <w:b/>
        </w:rPr>
        <w:t xml:space="preserve">Quelle: </w:t>
      </w:r>
      <w:r>
        <w:t>https://mcp.opencaselaw.ch/entscheid/bvger_F-5916_2024</w:t>
      </w:r>
    </w:p>
    <w:p>
      <w:r>
        <w:t>FR: TAF F-5916/2024 du 30 septembre 2024</w:t>
      </w:r>
    </w:p>
    <w:p>
      <w:r>
        <w:t>IT: TAF F-5916/2024 del 30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aufgrund des ausgestellten Schengen-Visums grundsätzlich Deutschland für die Behandlung des Asylgesuchs der Beschwerdeführerin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freiwilligen Selbsteintritt der Schweiz abgesehen.</w:t>
      </w:r>
    </w:p>
    <w:p>
      <w:r>
        <w:rPr>
          <w:b/>
        </w:rPr>
        <w:t>E. 2.2</w:t>
      </w:r>
    </w:p>
    <w:p>
      <w:r>
        <w:t>Hinsichtlich der geltend gemachten Beziehung der Beschwerdeführerin ist festzuhalten, dass die Vorinstanz zu Recht davon ausging, dass zwischen der Beschwerdeführerin und ihrem in der Schweiz wohnhaften Partner keine tatsächlich gelebte, dauerhafte Beziehung von eheähnlicher Intensität und Stabilität vorliegt, wie sie von Art. 8 Ziff. 1 EMRK geschützt wäre: Gemäss Angaben der Beschwerdeführerin ist sie seit zweieinhalb Jahren mit ihrem Partner zusammen. Abgesehen von der Zeit, in der ihr in der Schweiz die Sonderausgangsbewilligung erteilt worden sei, hätten sie nie zusammengelebt. Das Paar hat keine Kinder, ist finanziell nicht miteinander verflochten und weder aus den Akten noch aus den Vorbringen der Beschwerdeführerin ergeben sich Anhaltspunkte, die auf eine besondere Konstanz der Beziehung im Sinne der Rechtsprechung schliessen liessen. Das mutmasslich bereits eingeleitete Ehevorbereitungsverfahren vermag an dieser Einschätzung nichts zu ändern. Gegen die Bejahung einer eheähnlichen Beziehung spricht ferner, dass die Beschwerdeführerin erst im August 2024 versuchte, aus Deutschland zu ihrem Partner in die Schweiz zu ziehen.</w:t>
      </w:r>
    </w:p>
    <w:p>
      <w:r>
        <w:rPr>
          <w:b/>
        </w:rPr>
        <w:t>E. 2.3</w:t>
      </w:r>
    </w:p>
    <w:p>
      <w:r>
        <w:t>Die Vorinstanz ist demnach zu Recht in Anwendung von Art. 31a Abs. 1 Bst. b AsylG auf das Asylgesuch der Beschwerdeführerin nicht eingetreten und hat in Anwendung von Art. 44 AsylG ihre Wegweisung nach Deutschland angeordnet. Zur näheren Begründung wird auf die korrekten vorinstanzlichen Erwägungen verwiesen.</w:t>
      </w:r>
    </w:p>
    <w:p>
      <w:r>
        <w:rPr>
          <w:b/>
        </w:rPr>
        <w:t>E. 3</w:t>
      </w:r>
    </w:p>
    <w:p>
      <w:r>
        <w:t>Nach dem Gesagten ist die angefochtene Verfügung vom 12. September 2024 nicht zu beanstanden und die Beschwerde ist abzuweisen.</w:t>
      </w:r>
    </w:p>
    <w:p>
      <w:r>
        <w:rPr>
          <w:b/>
        </w:rPr>
        <w:t>E. 4</w:t>
      </w:r>
    </w:p>
    <w:p>
      <w:r>
        <w:t>Mit vorliegendem Urteil wird der Antrag auf Gewährung der aufschiebenden Wirkung gegenstandslos und der am 20. September 2024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