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F-5909/2024 vom 1. November 2024</w:t>
      </w:r>
    </w:p>
    <w:p>
      <w:r>
        <w:t>Bundesverwaltungsgericht, 2024-11-01, DE</w:t>
      </w:r>
    </w:p>
    <w:p>
      <w:r>
        <w:rPr>
          <w:b/>
        </w:rPr>
        <w:t xml:space="preserve">Quelle: </w:t>
      </w:r>
      <w:r>
        <w:t>https://mcp.opencaselaw.ch/entscheid/bvger_F-5909_2024</w:t>
      </w:r>
    </w:p>
    <w:p>
      <w:r>
        <w:t>FR: TAF F-5909/2024 du 1 novembre 2024</w:t>
      </w:r>
    </w:p>
    <w:p>
      <w:r>
        <w:t>IT: TAF F-5909/2024 del 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vor dem Bundesverwaltungsgericht mündlich angehört zu werden. Im Rahmen des rechtlichen Gehörs (Art. 29 Abs. 2 BV) besteht kein Anspruch auf eine mündliche Anhörung (BGE 134 I 140 E. 5.3). Soweit der Antrag ein Beweisanerbieten darstellt, ist er mit Blick auf die aus den Akten hervorgehende Sachlage in antizipierter Beweiswürdigung abzuweisen.</w:t>
      </w:r>
    </w:p>
    <w:p>
      <w:r>
        <w:rPr>
          <w:b/>
        </w:rPr>
        <w:t>E. 4.1</w:t>
      </w:r>
    </w:p>
    <w:p>
      <w:r>
        <w:t>Der Beschwerdeführer macht geltend, die Vorinstanz habe den Untersuchungsgrundsatz (Art. 12 VwVG) verletzt, da sie ihn nicht mündlich angehört habe. Der Untersuchungsgrundsatz gebietet keine mündliche Anhörung, wie aus dem Gesetzestext eindeutig hervorgeht. Zudem erlaubt auch die Dublin-III-VO einen Verzicht auf ein persönliches Gespräch, wenn der Antragsteller - wie vorliegend - bereits sachdienliche Angaben gemacht hat (vgl. Art. 5 Abs. 2 Bst. b Dublin-III-VO).</w:t>
      </w:r>
    </w:p>
    <w:p>
      <w:r>
        <w:rPr>
          <w:b/>
        </w:rPr>
        <w:t>E. 4.2</w:t>
      </w:r>
    </w:p>
    <w:p>
      <w:r>
        <w:t>Der Beschwerdeführer moniert ferner, die Vorinstanz habe den Untersuchungsgrundsatz verletzt, indem sie, trotz seiner Erlebnisse in Rumänien (fehlender Zugang zu medizinischer Versorgung, Inhaftierung, drohende Abschiebung nach Syrien etc.) keine weiteren Sachverhaltsabklärungen vorgenommen habe. Die Vorinstanz hat die vom Beschwerdeführer geltend gemachten Missstände in Rumänien ausreichend berücksichtigt. Wenn sie die entsprechenden Tatsachen im Hinblick auf die Folgen einer Überstellung des Beschwerdeführers anders gewürdigt hat als dieser selbst, liegt darin keine Verletzung des Untersuchungsgrundsatzes. Es handelt sich um Fragen der Subsumtion dieser Tatsachen unter die entsprechenden Normen der Dublin-III-VO (vgl. E. 6 und 7 hiernach).</w:t>
      </w:r>
    </w:p>
    <w:p>
      <w:r>
        <w:rPr>
          <w:b/>
        </w:rPr>
        <w:t>E. 4.3</w:t>
      </w:r>
    </w:p>
    <w:p>
      <w:r>
        <w:t>Die formellen Rügen erweisen sich als unbegründet, weshalb das Eventualbegehren, die Sache sei zur Neubeurteilung an die Vorinstanz zurückzuweisen, abzuweisen ist.</w:t>
      </w:r>
    </w:p>
    <w:p>
      <w:r>
        <w:rPr>
          <w:b/>
        </w:rPr>
        <w:t>E. 5</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6.1</w:t>
      </w:r>
    </w:p>
    <w:p>
      <w:r>
        <w:t>Gemäss Rechtsprechung des Bundesverwaltungsgerichts gibt es entgegen der Ansicht des Beschwerdeführers keine Gründe für die Annahme, wonach das Asylverfahren und die Aufnahmebedingungen in Rumänien systemische Schwachstellen im Sinne von Art. 3 Abs. 2 zweiter und dritter Satz Dublin-III-VO aufwiesen (vgl. statt vieler: Urteile des BVGer E 3975/2024 vom 28. Juni 2024 E. 4.1; F-3704/2023 vom 23. Mai 2024 E. 5.2). Selbst unter Berücksichtigung der vom Beschwerdeführer geschilderten Behandlung in Rumänien ist nicht davon auszugehen, das Land verstosse systematisch gegen seine vertraglichen Verpflichtungen als zuständiger Dublin-Mitgliedstaat.</w:t>
      </w:r>
    </w:p>
    <w:p>
      <w:r>
        <w:rPr>
          <w:b/>
        </w:rPr>
        <w:t>E. 6.2</w:t>
      </w:r>
    </w:p>
    <w:p>
      <w:r>
        <w:t>Unter diesen Umständen ist die Anwendung von Art. 3 Abs. 2 Dublin-III-VO nicht gerechtfertigt.</w:t>
      </w:r>
    </w:p>
    <w:p>
      <w:r>
        <w:rPr>
          <w:b/>
        </w:rPr>
        <w:t>E. 7.1</w:t>
      </w:r>
    </w:p>
    <w:p>
      <w:r>
        <w:t>Der Beschwerdeführer macht geltend, bei einer Rückkehr nach Rumänien drohe ihm eine Ausschaffung nach Syrien. Ferner habe er nach der Entlassung aus der Haft auf der Strasse leben müssen.</w:t>
      </w:r>
    </w:p>
    <w:p>
      <w:r>
        <w:rPr>
          <w:b/>
        </w:rPr>
        <w:t>E. 7.2</w:t>
      </w:r>
    </w:p>
    <w:p>
      <w:r>
        <w:t>Gemäss den vorinstanzlichen Akten wurde das Asylgesuch des Beschwerdeführers in Rumänien abgewiesen, ein Einreiseverbot gegen ihn verhängt und er wurde nach Syrien weggewiesen. Die rumänischen Behörden haben bereits Kontakt zur syrischen Botschaft aufgenommen und bitten um Ausstellung eines Reisedokuments für den Beschwerdeführer. Angesichts des Umstandes, dass das Vorliegen systemischer Schwachstellen im rumänischen Asylverfahren verneint wird (s. E. 6.1), kann auf die Frage der Gefahr einer Verletzung des Non-Refoulement-Gebots nicht mehr eingegangen werden (vgl. Urteil des EuGH vom 30. November 2023 in den verbundenen Rechtssachen C-228/21, C-254/21, C-297/21 und C-281/21, Rz. 129 bis 142 und Ziff. 2 des Dispositivs).</w:t>
      </w:r>
    </w:p>
    <w:p>
      <w:r>
        <w:rPr>
          <w:b/>
        </w:rPr>
        <w:t>E. 7.3</w:t>
      </w:r>
    </w:p>
    <w:p>
      <w:r>
        <w:t>Der Beschwerdeführer hat kein konkretes und ernsthaftes Risiko dargetan, die ihn bei einer Rückführung erwartenden Bedingungen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Behörden wenden und die ihm zustehenden Aufnahmebedingungen auf dem Rechtsweg einfordern (vgl. Art. 26 Aufnahmerichtlinie).</w:t>
      </w:r>
    </w:p>
    <w:p>
      <w:r>
        <w:rPr>
          <w:b/>
        </w:rPr>
        <w:t>E. 7.4</w:t>
      </w:r>
    </w:p>
    <w:p>
      <w:r>
        <w:t>Des Weiteren liegen keine konkreten Anhaltspunkte vor, wonach die Gesundheit des Beschwerdeführers bei einer Überstellung nach Rumänien ernsthaft gefährdet würde. Aus dem Bericht der B._______ vom 3. September 2024 geht hervor, dass beim Beschwerdeführer eine posttraumatische Belastungsstörung und eine rezidivierende depressive Störung, gegenwärtig schwere Episode ohne psychotische Symptome, diagnostiziert wurden. Bei einer erneuten Ausschaffung bestehe - so der Bericht weiter - das Risiko für eine «erneute psychische Dekompensation» und «ein hohes Risiko für eine Selbstgefährdung» (SEM act. 1345503-24/2). Die aufgeführten psychischen Beschwerden dürften einer Behandlung in Rumänien zugänglich sein. In der Schweiz wurde der Beschwerdeführer ferner bereits medikamentös versorgt. Die hohe Schwelle einer Verletzung von Art. 3 EMRK ist nicht erreicht (vgl. Urteil des EGMR Paposhvili gegen Belgien vom 13. Dezember 2016, Grosse Kammer, Nr. 41738/10, §§ 180-193, bestätigt durch Urteil des EGMR Savran gegen Dänemark vom 7. Dezember 2021, Grosse Kammer, Nr. 57467/15, §§ 121 ff.). Die Mitgliedstaaten sind im Übrigen verpflichtet, den Antragstellern die erforderliche medizinische Versorgung, die zumindest die Notversorgung und die unbedingt erforderliche Behandlung von Krankheiten und schweren psychischen Störungen umfasst, zugänglich zu machen (Art. 19 Abs. 1 Aufnahmerichtlinie). In Bezug auf die mögliche Selbstgefährdung ist festzuhalten, dass die Überstellung nicht gegen Art. 3 EMRK verstösst, wenn der wegweisende Staat Massnahmen ergreift, um die Umsetzung einer entsprechenden Suiziddrohung zu verhindern (vgl. den Unzulässigkeitsentscheid des EGMR vom 7. Oktober 2004 i.S. D. und andere gegen Deutschland, 33743/03, angeführt in EMARK 2005 Nr. 23 E. 5.1 [S. 212]). Es obliegt daher den mit der Überstellung betrauten Behörden, im Rahmen der Vorbereitung und in Zusammenarbeit mit den behandelnden Ärzten die notwendigen Vorkehrungen zu treffen, damit bei der Überstellung den konkreten Bedürfnissen Rechnung getragen wird (z.B. Medikamentenabgabe, Information an die rumänischen Behörden, vgl. Art. 31 f. Dublin-III-VO). Folglich droht keine Verletzung von Art. 3 EMRK.</w:t>
      </w:r>
    </w:p>
    <w:p>
      <w:r>
        <w:rPr>
          <w:b/>
        </w:rPr>
        <w:t>E. 7.5</w:t>
      </w:r>
    </w:p>
    <w:p>
      <w:r>
        <w:t>Vor diesem Hintergrund ist auch der Eventualantrag des Beschwerdeführers, die Vorinstanz sei anzuweisen, von den rumänischen Behörden verbindliche Zusicherungen bezüglich seiner Unterbringung, dem Zugang zum Asylverfahren und der medizinischen Versorgung einzuholen, abzuweisen.</w:t>
      </w:r>
    </w:p>
    <w:p>
      <w:r>
        <w:rPr>
          <w:b/>
        </w:rPr>
        <w:t>E. 7.6</w:t>
      </w:r>
    </w:p>
    <w:p>
      <w:r>
        <w:t>Die Vorinstanz hat somit das Selbsteintrittsrecht von Art. 17 Dublin-III-VO sowie Art. 29a Abs. 3 Asylverordnung 1 vom 11. August 1999 (AsylV 1, SR 142.311) zu Recht nicht ausgeübt. Weder ist die Schweiz völkerrechtlich verpflichtet, auf das Asylgesuch einzutreten, noch sind humanitäre Gründe ersichtlich, welche einen Selbsteintritt nahelegen würden.</w:t>
      </w:r>
    </w:p>
    <w:p>
      <w:r>
        <w:rPr>
          <w:b/>
        </w:rPr>
        <w:t>E. 8</w:t>
      </w:r>
    </w:p>
    <w:p>
      <w:r>
        <w:t>Die Vorinstanz ist demnach zu Recht auf das Asylgesuch des Beschwerdeführers nicht eingetreten und hat die Wegweisung nach Rumänien angeordnet.</w:t>
      </w:r>
    </w:p>
    <w:p>
      <w:r>
        <w:rPr>
          <w:b/>
        </w:rPr>
        <w:t>E. 9</w:t>
      </w:r>
    </w:p>
    <w:p>
      <w:r>
        <w:t>Nach dem Gesagten ist die Beschwerde abzuweisen. Mit dem vorliegenden Urteil fällt der am 20. September 2024 angeordnete superprovisorische Vollzugsstopp dahin. Das Gesuch um Erteilung der aufschiebenden Wirkung ist gegenstandslos geworden.</w:t>
      </w:r>
    </w:p>
    <w:p>
      <w:r>
        <w:rPr>
          <w:b/>
        </w:rPr>
        <w:t>E. 10.1</w:t>
      </w:r>
    </w:p>
    <w:p>
      <w:r>
        <w:t>Die Begehren erweisen sich als aussichtslos, weshalb das Gesuch um unentgeltliche Rechtspflege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