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F-5901/2023 vom 26. September 2024</w:t>
      </w:r>
    </w:p>
    <w:p>
      <w:r>
        <w:t>Bundesverwaltungsgericht, 2024-09-26, IT</w:t>
      </w:r>
    </w:p>
    <w:p>
      <w:r>
        <w:rPr>
          <w:b/>
        </w:rPr>
        <w:t xml:space="preserve">Quelle: </w:t>
      </w:r>
      <w:r>
        <w:t>https://mcp.opencaselaw.ch/entscheid/bvger_F-5901_2023</w:t>
      </w:r>
    </w:p>
    <w:p>
      <w:r>
        <w:t>FR: TAF F-5901/2023 du 26 septembre 2024</w:t>
      </w:r>
    </w:p>
    <w:p>
      <w:r>
        <w:t>IT: TAF F-5901/2023 del 26 settembre 2024</w:t>
      </w:r>
    </w:p>
    <w:p>
      <w:pPr>
        <w:pStyle w:val="Heading2"/>
      </w:pPr>
      <w:r>
        <w:t>Regeste</w:t>
      </w:r>
    </w:p>
    <w:p>
      <w:r>
        <w:t>Assegnazione di un richiedente l'asilo a un cantone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Non si prelevano spese processuali.</w:t>
      </w:r>
    </w:p>
    <w:p>
      <w:r>
        <w:rPr>
          <w:b/>
        </w:rPr>
        <w:t>E. 3</w:t>
      </w:r>
    </w:p>
    <w:p>
      <w:r>
        <w:t>Non si assegnano indennità per spese ripetibili.</w:t>
      </w:r>
    </w:p>
    <w:p>
      <w:r>
        <w:rPr>
          <w:b/>
        </w:rPr>
        <w:t>E. 4</w:t>
      </w:r>
    </w:p>
    <w:p>
      <w:r>
        <w:t>Questa sentenza è comunicata alla ricorrente e alla SEM.</w:t>
      </w:r>
    </w:p>
    <w:p>
      <w:r>
        <w:t>Il guidice unico: La cancelliera:</w:t>
      </w:r>
    </w:p>
    <w:p>
      <w:r>
        <w:t>Daniele Cattaneo Caroline Rausch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