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F-5890/2023 vom 19. August 2024</w:t>
      </w:r>
    </w:p>
    <w:p>
      <w:r>
        <w:t>Bundesverwaltungsgericht, 2024-08-19, DE</w:t>
      </w:r>
    </w:p>
    <w:p>
      <w:r>
        <w:rPr>
          <w:b/>
        </w:rPr>
        <w:t xml:space="preserve">Quelle: </w:t>
      </w:r>
      <w:r>
        <w:t>https://mcp.opencaselaw.ch/entscheid/bvger_F-5890_2023</w:t>
      </w:r>
    </w:p>
    <w:p>
      <w:r>
        <w:t>FR: TAF F-5890/2023 du 19 août 2024</w:t>
      </w:r>
    </w:p>
    <w:p>
      <w:r>
        <w:t>IT: TAF F-5890/2023 del 19 agosto 2024</w:t>
      </w:r>
    </w:p>
    <w:p>
      <w:pPr>
        <w:pStyle w:val="Heading2"/>
      </w:pPr>
      <w:r>
        <w:t>Regeste</w:t>
      </w:r>
    </w:p>
    <w:p>
      <w:r>
        <w:t>Schengen-Visum</w:t>
      </w:r>
    </w:p>
    <w:p>
      <w:pPr>
        <w:pStyle w:val="Heading2"/>
      </w:pPr>
      <w:r>
        <w:t>Erwägungen</w:t>
      </w:r>
    </w:p>
    <w:p>
      <w:r>
        <w:rPr>
          <w:b/>
        </w:rPr>
        <w:t>E. 1.1</w:t>
      </w:r>
    </w:p>
    <w:p>
      <w:r>
        <w:t>Von der Vorinstanz erlassene Einspracheentscheide betreffend Schen- gen-Visa sind mit Beschwerde beim Bundesverwaltungsgericht anfechtbar</w:t>
      </w:r>
    </w:p>
    <w:p>
      <w:r>
        <w:t>F-5890/2023 Seite 3 (Art. 31 ff. VGG i.V.m. Art. 5 VwVG). Das Rechtsmittelverfahren richtet sich nach dem VwVG, soweit das VGG nichts anderes bestimmt (Art. 37 VGG).</w:t>
      </w:r>
    </w:p>
    <w:p>
      <w:r>
        <w:rPr>
          <w:b/>
        </w:rPr>
        <w:t>E. 1.2</w:t>
      </w:r>
    </w:p>
    <w:p>
      <w:r>
        <w:t>Der Beschwerdeführer hat am vorinstanzlichen Verfahren teilgenom- men und ist durch den angefochtenen Entscheid besonders berührt. Er ist zur Erhebung der Beschwerde legitimiert (Art. 48 Abs. 1 VwVG). Aufgrund der vorliegend behandelten Rechtsmitteleingabe ist auf ein fortbestehen- des Rechtsschutzinteresse zu schliessen (Art. 48 Abs. 1 VwVG; vgl. bspw. Urteil des BVGer F-2086/2020 vom 17. Mai 2021 E. 1.3).</w:t>
      </w:r>
    </w:p>
    <w:p>
      <w:r>
        <w:rPr>
          <w:b/>
        </w:rPr>
        <w:t>E. 1.3</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syrischer Staatsange- höriger um Erteilung von Visa für einen Besuchsaufenthalt in der Schweiz zugrunde. Da sich letztere nicht auf die EU/EFTA-Personenfreizügigkeits- abkommen berufen können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Das AIG (SR 142.20) und seine Ausführungsbestimmungen gelan- gen nur soweit zur Anwendung, als die Schengen-Assoziierungsabkom- men keine abweichenden Bestimmungen enthalten (Art. 2 Abs. 4 AIG).</w:t>
      </w:r>
    </w:p>
    <w:p>
      <w:r>
        <w:rPr>
          <w:b/>
        </w:rPr>
        <w:t>E. 4.1</w:t>
      </w:r>
    </w:p>
    <w:p>
      <w:r>
        <w:t>Der Beschwerdeführer rügt zunächst, die Vorinstanz habe den rechts- erheblichen Sachverhalt nicht korrekt abgeklärt sowie keine einzelfallbezo- gene Prüfung der Gesuche vorgenommen. Diese formellen Rügen sind vorab zu beurteilen, da sie allenfalls geeignet sind, eine Rückweisung der Sache an die Vorinstanz zu rechtfertigen (vgl. BGE 138 I 232 E. 5).</w:t>
      </w:r>
    </w:p>
    <w:p>
      <w:r>
        <w:t>F-5890/2023 Seite 4</w:t>
      </w:r>
    </w:p>
    <w:p>
      <w:r>
        <w:rPr>
          <w:b/>
        </w:rPr>
        <w:t>E. 4.2</w:t>
      </w:r>
    </w:p>
    <w:p>
      <w:r>
        <w:t>Eine Prüfung der Verfügung der Vorinstanz auf eine etwaige Verletzung ihrer Pflicht zur Feststellung des rechtserheblichen Sachverhalts sowie ih- rer Prüf- und Begründungspflicht (vgl. zum Vorgehen statt vieler Urteil des BVGer F-4659/2023 vom 19. Januar 2024 E. 3) lässt aber weder eine Ver- letzung des Untersuchungsgrundsatzes (Art. 49 Bst. b VwVG; Art. 12 VwVG; vgl. ferner m.w.H. BGE 140 I 285 E. 6.3.1) noch der Prüf- und Be- gründungspflicht erkennen (Art. 35 Abs.1 VwVG; vgl. ferner auch m.w.H. BGE 145 IV 99 E. 3.1; 143 III 65 E. 5.2). Bezüglich letzterer hat die Vor- instanz anhand einer Einzelfallprüfung hinreichend nachvollziehbar be- gründet, von welchen Überlegungen sie sich, gerade auch in individueller Hinsicht, bei ihrem Entscheid leiten liess. Im Weiteren hat sie sich genü- gend vertieft mit der Situation der Gesuchstellenden in Syrien auseinan- dergesetzt. Es ist nicht ersichtlich, inwiefern sie noch konkretere Abklärun- gen hätte vornehmen müssen. Mit Hinweis auf die Mitwirkungspflicht der Gesuchstellenden ist das teilweise Fehlen relevanter Angaben ihnen anzu- lasten (vgl. Art. 14 Abs. 1 Bst. d VK; Art. 14 Abs. 3 i.V.m. Anhang II VK; Art.</w:t>
      </w:r>
    </w:p>
    <w:p>
      <w:r>
        <w:rPr>
          <w:b/>
        </w:rPr>
        <w:t>E. 4.3</w:t>
      </w:r>
    </w:p>
    <w:p>
      <w:r>
        <w:t>Die formellen Rügen erweisen sich somit als unbegründet. Sie betref- fen auch teilweise die Frage der unrichtigen Würdigung des Sachverhalts und sind materieller Art, worauf noch eingegangen wird. Der Eventualan- trag zur Rückweisung der Sache an die Vorinstanz ist abzuweisen.</w:t>
      </w:r>
    </w:p>
    <w:p>
      <w:r>
        <w:rPr>
          <w:b/>
        </w:rPr>
        <w:t>E. 5</w:t>
      </w:r>
    </w:p>
    <w:p>
      <w:r>
        <w:t>Abs. 1 Bst. c SGK; Art. 5 Abs. 2 AIG; BVGE 2014/1 E. 4.4 und E. 6.1). Zwar wird in der Replik nachvollziehbar auf die Beweismittelbeschaffungs- schwierigkeiten in Syrien hingewiesen. Es wäre ihnen dennoch zumutbar gewesen, den genauen Umfang ihres dortigen Immobilienbesitzes, ihre da- zugehörigen Verwaltungstätigkeiten sowie ihre geltend gemachten ander- weitigen sozialen Verpflichtungen zu beweisen oder zumindest abschlies- send darzulegen.</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w:t>
      </w:r>
    </w:p>
    <w:p>
      <w:r>
        <w:t>F-5890/2023 Seite 5 erfüllt sind. Einen Anspruch auf Einreise bzw. Visumserteilung vermittelt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 fern dieses erforderlich ist gemäss der Verordnung (EU) 2018/1806 des Europäischen Parlaments und des Rates vom 14. November 2018 zur Auf- stellung der Liste der Drittländer, deren Staatsangehörige beim Überschrei- ten der Aussengrenzen im Besitz eines Visums sein müssen, sowie der Liste der Drittländer, deren Staatsangehörige von dieser Visumspflicht be- freit sind (ABl. L 303/39 vom 28. November 2018). Als syrische Staatsangehörige unterliegen die Gesuchstellenden unbestrit- tenermassen der Visumspflicht (vgl. Art. 8 Abs. 1 VEV i.V.m. Anhang I Ver- ordnung [EU] 2018/1806; Art. 6 Abs. 1 Bst. b SGK).</w:t>
      </w:r>
    </w:p>
    <w:p>
      <w:r>
        <w:rPr>
          <w:b/>
        </w:rPr>
        <w:t>E. 5.3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für ihre fristgerechte Wieder- ausreise Gewähr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w:t>
      </w:r>
    </w:p>
    <w:p>
      <w:r>
        <w:t>F-5890/2023 Seite 6 verweigern (Art. 32 Abs. 1 Bst. b VK). Bei der Beurteilung, ob die Voraus- setzungen für die Visumserteilung erfüllt sind, kommt den Behörden ein weiter Beurteilungsspielraum zu (BVGE 2014/1 E. 4.1.5).</w:t>
      </w:r>
    </w:p>
    <w:p>
      <w:r>
        <w:rPr>
          <w:b/>
        </w:rPr>
        <w:t>E. 5.4</w:t>
      </w:r>
    </w:p>
    <w:p>
      <w:r>
        <w:t>Sind – abgesehen vom Visum selbst – die Einreisevoraussetzungen nicht erfüllt, können in Ausnahmefällen Visa mit räumlich beschränkter Gül- tigkeit erteilt werden, die nur für das Hoheitsgebiet des betreffenden Mit- gliedstaats gelten.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6.1</w:t>
      </w:r>
    </w:p>
    <w:p>
      <w:r>
        <w:t>Bei der Beurteilung des Kriteriums der gesicherten Wiederausreise muss ein zukünftiges Verhalten beurteilt werden, weshalb darüber eine Prognose zu erstellen ist. Hierzu sind alle Umstände des Einzelfalles zu würdigen. Die Beweisführungslast obliegt den drittstaatsangehörigen Per- sonen (Art. 14 Abs. 1 Bst. d VK; Art. 14 Abs. 3 i.V.m. Anhang II VK; Art. 5 Abs. 1 Bst. c SGK; Art. 5 Abs. 2 AIG; BVGE 2014/1 E. 4.4 und E. 6.1). An- haltspunkte für die Gewähr einer fristgerechten Wiederausreise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6.2</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F-886/2023 vom 19. Februar 2024 E. 5.3 m.H.; F-1986/2022 vom 10. Januar 2023 E. 6.2). Viele sind in die Nachbarstaaten geflohen und versuchen, ihre Flucht insbesondere nach Europa fortzusetzen (vgl. SEM, Asylstatistik 2023, S. 16, &lt; https://www.sem.admin.ch/sem/de/home/publiservice/sta- tistik/asylstatistik/archiv/2023/12.html &gt;, abgerufen am 25.06.2024). Die Einschätzung der allgemeinen Situation in Syrien durch die Vorinstanz als</w:t>
      </w:r>
    </w:p>
    <w:p>
      <w:r>
        <w:t>F-5890/2023 Seite 7 Sachverhaltselement, das gegen eine ordnungsgemässe Wiederausreise der Gesuchstellenden spricht, ist somit nicht zu beanstanden.</w:t>
      </w:r>
    </w:p>
    <w:p>
      <w:r>
        <w:rPr>
          <w:b/>
        </w:rPr>
        <w:t>E. 6.3</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Die Schwester des gast- gebenden Beschwerdeführers macht in diesem Zusammenhang haupt- sächlich geltend, sie habe in Syrien einen 9-jährigen Sohn mit ihrem Ex- Ehemann, für den sie die Hauptbezugsperson sei. Während ihres Aufent- halts würde sich ihr Ex-Ehemann um den Sohn kümmern, dieser möchte aber die langfristige Verantwortung für ihn nicht tragen. Diese Vorbringen belegt sie anhand eines Geburtsausweises und eines gerichtlichen Ent- scheids, der ihr das alleinige Sorgerecht zuspricht (vgl. SEM-act., S. 17 f.). Die Verpflichtungen der Schwester des Beschwerdeführers gegenüber ih- rem in Syrien aufhältigen Sohn sind demnach als Hinweis für ihre fristge- rechte Wiederausreise zu werten. Fragwürdig ist diesbezüglich jedoch, dass die Gesuchstellenden eine über die Schengen-rechtlichen Bestim- mungen hinausgehende und sehr lange Aufenthaltsdauer in der Schweiz von 92 Tagen anstreben. Würde sich ihr Anliegen einer Einreise und Auf- enthalt in die Schweiz, wie sie behaupten, ausschliesslich auf das Wieder- sehen mit ihrem Bruder beziehen, wäre anzunehmen, dass eine kürzere Aufenthaltsdauer dafür ausreichen würde und die Schwester des gastge- benden Beschwerdeführers möglichst bald zu ihrem Sohn in Syrien zurück- kehren wollen würde. So entstehen diesbezüglich auch Zweifel über die Absichten des Ex-Ehemanns, seine Verpflichtungen als Vater nicht auch längerfristig wahrnehmen zu wollen. Letzteres kann vom Gericht nicht überprüft werden. Demgegenüber spricht die allgemeine familiäre Situation der Gesuchstellenden klar zuungunsten ihrer Wiederausreise. Den akten- kundigen Auszügen des Zivilstandsregisters ist zu entnehmen, dass der Mann der Mutter des gastgebenden Beschwerdeführers verstorben ist und ihre sechs Kinder, mit Ausnahme der mit ihr zu reisen beabsichtigenden Tochter, allesamt bereits im Ausland leben, namentlich in der Türkei, Spa- nien, Ägypten, in den Vereinigten Arabischen Emiraten und in der Schweiz (vgl. SEM-act., S. 32 f.). Dieser Umstand lässt beim Gericht erhebliche Zweifel aufkommen, ob die Gesuchstellenden sich nicht wie ihre übrigen</w:t>
      </w:r>
    </w:p>
    <w:p>
      <w:r>
        <w:t>F-5890/2023 Seite 8 Familienmitglieder von ihrer kriegsgeprägten Heimat ins Ausland absetzen möchten.</w:t>
      </w:r>
    </w:p>
    <w:p>
      <w:r>
        <w:rPr>
          <w:b/>
        </w:rPr>
        <w:t>E. 6.4</w:t>
      </w:r>
    </w:p>
    <w:p>
      <w:r>
        <w:t>In Bezug auf ihre berufliche Situation führen die Gesuchstellenden aus, sie würden in Syrien Immobilien besitzen (sechs Wohnhäuser a jeweils 12 Wohnungen) und seien dort als Liegenschaftsverwalterinnen tätig. Sie wür- den dabei umgerechnet rund Fr. 500.– pro Monat verdienen, was für syri- sche Verhältnisse vorteilhafte Lebensbedingungen darstellen würde (vgl. BVGer-act. 1, S. 4). Den Akten sind dazu vereinzelte Besitzurkunden und Mietverträge zu entnehmen (vgl. SEM-act., S. 11-16). Wie bereits ausge- führt, fehlt dem Gericht damit eine abschliessende Übersicht über die ge- naue Vermögenslage und die berufliche Tätigkeit der Gesuchstellenden. Auf das Einfordern weiterer Unterlagen dazu kann aber verzichtet werden. Ihr Immobilienbesitz und ihre entsprechende Geschäftstätigkeit können al- lein keine hinreichende Gewähr für ihre Wiederausreise bieten, zumal ihr dortiger Besitz nach der Ausreise veräussert oder durch beauftragte Dritt- personen vermietet werden könnte. Hinweise auf ein allfälliges soziales Engagement der Gesuchstellenden liegen keine vor. Somit kann vorlie- gend für sie nicht von einer besonders starken sozio-ökonomischen Ein- bettung in Syrien, die sie von einer Emigration abhalten könnte, ausgegan- gen werden.</w:t>
      </w:r>
    </w:p>
    <w:p>
      <w:r>
        <w:rPr>
          <w:b/>
        </w:rPr>
        <w:t>E. 6.5</w:t>
      </w:r>
    </w:p>
    <w:p>
      <w:r>
        <w:t>Schliesslich ist noch auf den beabsichtigten Reisezweck der Gesuch- stellenden einzugehen. Während sie diesbezüglich den Besuch ihres Soh- nes respektive Bruders erwähnen, weist letzterer in einem mit dem Gesuch zusammen eingereichten Begleitschreiben darauf hin, dass das Gesuch vor dem Hintergrund der starken Erdbeben im Februar 2023 im Norden Syriens zu verstehen sei (vgl. SEM-act., S. 37). Vor diesem Hintergrund entsteht der Eindruck, dass die Gesuchstellenden ihre tatsächliche Situa- tion nicht vollständig transparent dargelegt haben. Abgesehen davon kann aus dem Umstand, dass die Schweiz Visumsgesuche von Opfern der er- wähnten Erdbeben prioritär behandelte, vom Zeitpunkt ihres Gesuchs am 23. Mai 2023 ausgehend, nichts zu ihren Gunsten abgeleitet werden. Da- bei handelte es sich nämlich um eine zwischen dem 14. Februar 2023 und dem 12. Mai 2023 begrenzte Massnahme (vgl. Medienmitteilung des SEM vom 2. Mai 2023, &lt; https://www.sem.admin.ch/sem/de/home/sem/me- dien/mm.msg-id-94733.html &gt;, abgerufen am 05.06.2024). Zudem galten für diese sogenannten «Fast-Track-Verfahren» die ordentlichen Schen- gen-rechtlichen Einreisebestimmungen.</w:t>
      </w:r>
    </w:p>
    <w:p>
      <w:r>
        <w:t>F-5890/2023 Seite 9</w:t>
      </w:r>
    </w:p>
    <w:p>
      <w:r>
        <w:rPr>
          <w:b/>
        </w:rPr>
        <w:t>E. 6.6</w:t>
      </w:r>
    </w:p>
    <w:p>
      <w:r>
        <w:t>Zusammenfassend ist somit festzuhalten, dass aufgrund der allgemei- nen familiären Situation, den soweit ersichtlich nicht besonders engen so- zio-ökonomischen Verbindungen zu ihrem Heimatland sowie des angege- benen Reisezwecks nicht von einer hinreichenden Gewähr für eine an- standslose Wiederausreise der Gesuchstellenden ausgegangen werden kann. In Bezug auf die finanziellen Zusicherungen des gastgebenden Be- schwerdeführers und weiterer Drittpersonen (vgl. SEM-act., S. 5 f., 89 f.) ist noch anzumerken, dass diese zwar mit rechtlich verbindlicher Wirkung für gewisse finanzielle Risiken Garantie leisten können, mangels rechtli- cher und faktischer Durchsetzbarkeit aber nicht für ein bestimmtes Tun oder Unterlassen ihrer Gäste einstehen können (vgl. BVGE 2014/1 E. 6.3.7; 2009/27 E. 9).</w:t>
      </w:r>
    </w:p>
    <w:p>
      <w:r>
        <w:rPr>
          <w:b/>
        </w:rPr>
        <w:t>E. 7</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8</w:t>
      </w:r>
    </w:p>
    <w:p>
      <w:r>
        <w:t>Die angefochtene Verfügung erweist sich unter Berücksichtigung der allge- meinen Situation im Herkunftsland und der persönlichen Hintergründe der Gesuchstellenden im Lichte von Art. 49 VwVG als rechtmässig. Die Be- schwerde ist abzuweisen.</w:t>
      </w:r>
    </w:p>
    <w:p>
      <w:r>
        <w:rPr>
          <w:b/>
        </w:rPr>
        <w:t>E. 9</w:t>
      </w:r>
    </w:p>
    <w:p>
      <w:r>
        <w:t>Bei diesem Ausgang des Verfahrens sind die Kosten dem Beschwerdefüh- rer aufzuerlegen und auf CHF 800.– festzusetzen (vgl. Art. 63 Abs. 1 VwVG i.V.m. Art. 1 ff. des Reglements vom 21. Februar 2008 über die Kosten und Entschädigungen vor dem Bundesverwaltungsgericht [VGKE, SR 173.320.2]). Eine Parteientschädigung fällt ausgangsgemäss ausser Be- tracht (Art. 64 Abs. 1 VwVG). (Dispositiv nächste Seite)</w:t>
      </w:r>
    </w:p>
    <w:p>
      <w:r>
        <w:t>F-5890/2023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