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F-5889/2023 vom 29. September 2023</w:t>
      </w:r>
    </w:p>
    <w:p>
      <w:r>
        <w:t>Bundesverwaltungsgericht, 2023-09-29, DE</w:t>
      </w:r>
    </w:p>
    <w:p>
      <w:r>
        <w:rPr>
          <w:b/>
        </w:rPr>
        <w:t xml:space="preserve">Quelle: </w:t>
      </w:r>
      <w:r>
        <w:t>https://mcp.opencaselaw.ch/entscheid/bvger_F-5889_2023_d20230929</w:t>
      </w:r>
    </w:p>
    <w:p>
      <w:r>
        <w:t>FR: TAF F-5889/2023 du 29 septembre 2023</w:t>
      </w:r>
    </w:p>
    <w:p>
      <w:r>
        <w:t>IT: TAF F-5889/2023 del 29 settembre 2023</w:t>
      </w:r>
    </w:p>
    <w:p>
      <w:pPr>
        <w:pStyle w:val="Heading2"/>
      </w:pPr>
      <w:r>
        <w:t>Regeste</w:t>
      </w:r>
    </w:p>
    <w:p>
      <w:r>
        <w:t>Schengen-Visum | Schengen-Visum; Verfügung des SEM vom 29. September 2023</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 ren teilgenommen und ist als Gastgeberin des Gesuchstellers durch den angefochtenen Entscheid besonders berührt. Obwohl der ursprünglich an- gestrebte Besuchszeitraum inzwischen abgelaufen ist, muss auf ein fort- bestehendes Rechtsschutzinteresse geschlossen werden. Dies belegt al- lein schon die Einreichung der Beschwerde. Die Beschwerdeführerin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t>F-5889/2023 Seite 4</w:t>
      </w:r>
    </w:p>
    <w:p>
      <w:r>
        <w:rPr>
          <w:b/>
        </w:rPr>
        <w:t>E. 3</w:t>
      </w:r>
    </w:p>
    <w:p>
      <w:r>
        <w:t>Der angefochtenen Verfügung liegt das Gesuch eines Staatsangehörigen Sri Lankas um Erteilung eines Visums zu Besuchszwecken für die Schweiz zugrunde. Da sich der Gesuchsteller nicht auf die EU/EFTA-Personenfrei- zügigkeitsabkommen berufen kann und die beabsichtigte Aufenthaltsdauer 90 Tage nicht überschreitet, fällt die vorliegende Streitsache in den persön- lichen und sachlichen Anwendungsbereich der Schengen-Assoziierungs- abkommen, mit denen die Schweiz den Schengen-Besitzstand und die da- 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Visa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w:t>
      </w:r>
    </w:p>
    <w:p>
      <w:r>
        <w:t>F-5889/2023 Seite 5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Aufgrund seiner Staatszugehörigkeit unterliegt der Gesuchsteller der Visumspflicht (vgl. E. 4.1 hiervor). Bei der Prüfung der Einreisevorausset- zungen nach Art. 6 Abs. 1 SGK ist die Frage der gesicherten Wiederaus- reise zentral. Eine solche erachtete das SEM aufgrund der allgemeinen Situation im Heimatland und der persönlichen Verhältnisse der eingelade- nen Person als nicht genügend gewährleistet.</w:t>
      </w:r>
    </w:p>
    <w:p>
      <w:r>
        <w:t>F-5889/2023 Seite 6</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Sri Lanka leidet unter einer schweren Wirtschafts- und Finanzkrise. Es kommt regelmässig zu Streiks und Demonstrationen im ganzen Land. Da- bei kann es zu gewaltsamen Ausschreitungen kommen. Trotz vordergrün- diger Beruhigung der Lage bestehen weiterhin hohe politische und soziale Spannungen, wie auch Spannungen zwischen religiösen beziehungsweise ethnischen Gemeinschaften. Es kommt überdies zu Engpässen bei der Versorgung mit Medikamenten, Strom, Treibstoff und Gütern des täglichen Bedarfs (vgl. Reisehinweise für Sri Lanka, &lt; https://www.eda.admin.ch &gt; Reisehinweise und Vertretungen &gt; Reisehinweise für Sri Lanka; abgerufen am 16.01.2024). Gemäss diverser Quellen erweist sich die Wirtschafts- krise im Norden, woher der Gesuchsteller stammt, als besonders ausge- prägt. Gemäss dem ausführlichen Bericht der UN-Organisationen World Food Program (WFP) und Food and Agriculture Organization (FAO) sind der Norden und der Osten stärker von der Nahrungsunsicherheit sowie von einer Einkommensverminderung betroffen als andere Landesteile (vgl. World Food Program [WFP] / Food and Agriculture Organization [FAO], Special Report: FAO/WFP Crop and Food Security Assessment Mission [CFSAM] to the Democratic Socialist Republic of Sri Lanka, 29.05.2023, https://reliefweb.int/attachments/2f8749ae-5a3a-46ed-b1da- e549dc7128ea/cc6202en.pdf, S. 6 ff., abgerufen am 16.01.2024).</w:t>
      </w:r>
    </w:p>
    <w:p>
      <w:r>
        <w:rPr>
          <w:b/>
        </w:rPr>
        <w:t>E. 5.4</w:t>
      </w:r>
    </w:p>
    <w:p>
      <w:r>
        <w:t>Vor diesem Hintergrund ist nicht zu beanstanden, dass die Vorinstanz das Risiko einer nicht fristgerechten Wiederausreise von Besuchern aus Sri Lanka grundsätzlich als hoch einstuft, insbesondere wenn im westli- chen Ausland bereits ein gewisses familiäres Beziehungsnetz besteht.</w:t>
      </w:r>
    </w:p>
    <w:p>
      <w:r>
        <w:t>F-5889/2023 Seite 7</w:t>
      </w:r>
    </w:p>
    <w:p>
      <w:r>
        <w:rPr>
          <w:b/>
        </w:rPr>
        <w:t>E. 6.1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w:t>
      </w:r>
    </w:p>
    <w:p>
      <w:r>
        <w:rPr>
          <w:b/>
        </w:rPr>
        <w:t>E. 6.1.1</w:t>
      </w:r>
    </w:p>
    <w:p>
      <w:r>
        <w:t>Beim Gesuchsteller handelt es sich um den (...)-jährigen Ehemann der Beschwerdeführerin respektive Vater von vier in der Schweiz lebenden gemeinsamen Kindern. Den Akten zufolge lebt er alleine in H._______ und geht keiner Beschäftigung nach (vgl. SEM act. 4/pag. 48). Er stammt ferner aus einer Region mit besonders hohem Migrationsdruck. Dass ihm in der Heimat besondere gesellschaftliche oder familiäre Verpflichtungen obliegen würden, ist nicht ersichtlich. Vielmehr ist aufgrund der beantragten Visumsdauer von knapp drei Monaten von einer weitgehenden Ungebundenheit auszugehen. Zudem verfügt er in der Schweiz durch die hier lebende Ehefrau und vier gemeinsame Kinder über ein vorbestehendes familiäres Beziehungsnetz, was das Emigrationsrisiko erhöht. Dies lässt sich auch daraus folgern, dass er am (...) bei der Schweizer Vertretung ein Gesuch um Familiennachzug einreichte (vgl. SEM act. 1/pag. 1-3), welches im Jahr (...) abgelehnt worden sei (vgl. Beschwerdeschrift S. 1).</w:t>
      </w:r>
    </w:p>
    <w:p>
      <w:r>
        <w:rPr>
          <w:b/>
        </w:rPr>
        <w:t>E. 6.1.2</w:t>
      </w:r>
    </w:p>
    <w:p>
      <w:r>
        <w:t>Zu den wirtschaftlichen Verhältnissen des Gesuchstellers ist festzu- halten, dass er in Sri Lanka ein Grundstück besitzt. Ferner arbeite er – gemäss den Ausführungen der Beschwerdeführerin – in einem kleinen Pensum als Buchhalter für seinen Bruder, verwalte sein Vermögen und sei in der Agrarwirtschaft tätig, wo er Gemüse anbaue. Ferner verfüge er über mehrere Sparkonten, aus denen er ebenfalls ein Einkommen aus Zinsen erziele (vgl. SEM act. 6/pag. 163 f.). Den Akten sind Bestätigungen über vier verschiedene Bankkonten zu entnehmen (vgl. SEM act. 2/pag. 30-32), welche am (...), (...), (...) und (...) eröffnet wurden. Diese weisen zusammen insgesamt einen Saldo von LKR 2'759'626 (umgerechnet ca. Fr. 7’360.–</w:t>
      </w:r>
    </w:p>
    <w:p>
      <w:r>
        <w:t>F-5889/2023 Seite 8 per Juni/Juli 2023) aus. Auf die drei am (...), (...), und (...) eröffneten Konten wurde an diesem Tag jeweils einmalig eine Geldsumme eingezahlt. Es wurde nicht erläutert, woher dieses Geld stammte. Der Umstand, dass die Einzahlungen wenige Monate vor der Visumsantragstellung am 20. Juli 2023 geschahen – bei welcher der Gesuchsteller angab, keine Anstellung zu haben – spricht nicht für eine sichere wirtschaftlichen Existenz in der Heimat, welche ihn von einer Emigration abhalten könnte. Zudem lässt kei- nes dieser Konten Rückschlüsse über die geltend gemachte regelmässige Tätigkeit als Buchhalter oder die behaupteten Vermögensgewinne zu, da in den Auszügen lediglich ein Saldo vermerkt ist. Sodann widerspricht die angeführte Tätigkeit als Buchhalter seinen Angaben im Visumsantrag, wo- rin er die Frage nach einer Erwerbstätigkeit mit "No occupation" beantwor- tete (vgl. SEM act. 4/pag. 48). Dementsprechend bleiben die mit der Be- schwerde eingereichten Lohnabrechnungen für die Monate Juli, August und September des Jahres 2023, wonach er in seiner Funktion als Mana- ger der Unternehmung I._______ in H._______ ein regelmässiges Ein- kommen erziele und gemäss Bestätigung dieser Unternehmung vom 26. Oktober 2023 seit dem 1. Mai 2018 dort angestellt sei, ohne jeglichen Be- weiswert. Eine solche Erwerbstätigkeit brachte er denn auch weder im Vi- sumsantrag noch in seiner Einsprache vom 28. Juli 2023 oder in seiner Stellungnahme an das kantonale Migrationsamt vom 18. September 2023 jemals vor. Auch die weiteren, mit der Replik eingereichten drei Bestätigun- gen, die belegen sollen, dass er tatsächlich als Manager der Unterneh- mung I._______ in H._______ arbeite, bleiben ohne Beweiswert. Zunächst einmal wird nicht ersichtlich, wer die am 27. Dezember 2023 datierte Be- stätigung dieser Unternehmung ausgestellt hat und in welcher Beziehung diese Person zum erwähnten Betrieb steht; gleiches gilt im Übrigen auch für die Bestätigung vom 26. Oktober 2023. Jedenfalls erscheint es wenig überzeugend, dass der Gesuchsteller darin als "one of the key individuals within our organization" bezeichnet wird, er demgegenüber aber offenbar problemlos drei Monate dem Betrieb fernbleiben könnte, will er doch ge- mäss Visumsantrag während dieser Zeit seine Angehörigen in der Schweiz besuchen. Sodann deuten die Formulierungen in diesen Bestätigungen auf ein bereits länger andauerndes Engagement bei dieser Unternehmung hin (so bestätigt in der Bescheinigung vom 26. Oktober 2023), was jedoch wie- derum mit seiner Angabe im Visumsantrag vom 20. Juli 2023, er sei ohne Beschäftigung, in diametralem Widerspruch steht. Die dritte, durch die Ge- meinde J._______ vom 25. Dezember 2023 ausgestellte Bestätigung hält lediglich in allgemeiner Weise fest, dass der Gesuchsteller finanziell unab- hängig sei und sein Einkommen aus einer Beschäftigung beziehe, was ihm erlaube, seinen finanziellen Verpflichtungen nachzukommen. Vor diesem</w:t>
      </w:r>
    </w:p>
    <w:p>
      <w:r>
        <w:t>F-5889/2023 Seite 9 Hintergrund und in Anbetracht der aufgeführten Unstimmigkeiten kann auch in Berücksichtigung der eingereichten Unterlagen fraglos nicht von einer massgeblichen beruflichen und wirtschaftlichen Verankerung des Eingeladenen ausgegangen werden, welche die Gefahr eines Verbleibens in der Schweiz beziehungsweise im Schengen-Raum über den deklarier- ten Zeitpunkt hinaus als unwahrscheinlich erscheinen liesse.</w:t>
      </w:r>
    </w:p>
    <w:p>
      <w:r>
        <w:rPr>
          <w:b/>
        </w:rPr>
        <w:t>E. 6.2</w:t>
      </w:r>
    </w:p>
    <w:p>
      <w:r>
        <w:t>Vor dem allgemeinen und persönlichen Hintergrund konnte das SEM demnach davon ausgehen, dass keine hinreichende Gewähr für eine frist- gerechte und anstandslose Wiederausreise des Gesuchstellers nach ei- nem Besuchsaufenthalt besteht. Mithin fehlt es an einer unabdingbaren Voraussetzung für die Erteilung eines einheitlichen Visums für den gesam- ten Schengen-Raum. An dieser Einschätzung vermögen angesichts der vorstehenden Erörterungen auch die in der Rechtsmitteleingabe und der Replik geäusserten gegenteiligen Zusicherungen der Beschwerdeführerin nichts zu ändern. Weiter gilt es darauf hinzuweisen, dass bei der Risikoab- wägung Gastgeber zwar für gewisse finanzielle Risiken garantieren kön- nen –, nicht aber für ein bestimmtes Verhalten ihrer Gäste (vgl. BVGE 2014/1 E. 6.3.7 m.H.).</w:t>
      </w:r>
    </w:p>
    <w:p>
      <w:r>
        <w:rPr>
          <w:b/>
        </w:rPr>
        <w:t>E. 6.3</w:t>
      </w:r>
    </w:p>
    <w:p>
      <w:r>
        <w:t>Soweit sich die Beschwerdeführerin sinngemäss auf das durch Art. 8 EMRK geschützte Recht auf Achtung des Familienlebens beruft, ist vorlie- gend zu prüfen, ob sich aus der Beziehung des Gesuchstellers zu der in der Schweiz lebenden Beschwerdeführerin respektive zu den hierzulande lebenden (erwachsenen) Kindern eine auf Art. 8 EMRK basierende völker- rechtliche Pflicht zur Ermöglichung eines Besuchs in der Schweiz ergibt. In diesem Zusammenhang ist zunächst daran zu erinnern, dass sich der Ge- genstand des vorliegenden Verfahrens nicht auf die Frage der Familienzu- sammenführung, sondern ausschliesslich auf ein Visum zu Besuchszwe- cken bezieht, was die Anwendbarkeit von Art. 8 EMRK stark relativiert. So- dann können sich auf die Teilgarantie des Familienlebens namentlich aus- ländische Personen berufen, die nahe Familienangehörige mit hinreichend gefestigtem Anwesenheitsrecht in der Schweiz haben, sofern das Fami- lienleben intakt ist und gelebt wird (vgl. BVGE 2014/1 E. 9.3 mit Hinwei- sen). Die Beziehung zwischen der Beschwerdeführerin, den Kindern und dem Gesuchsteller wird seit der Flucht der Ersteren aus Sri Lanka im Jahr (...) nur über Kommunikationskanäle gepflegt, und die Beschwerdeführerin wolle nun den Rest ihres Lebens mit ihrem Mann (dem Gesuchsteller) zu- sammen sein respektive sie wollten Zeit miteinander verbringen (vgl. SEM act. 4/pag. 154; Beschwerdeschrift S. 1). Es ist demnach davon auszuge- hen, dass das Familienleben intakt ist und – soweit es die grosse Distanz</w:t>
      </w:r>
    </w:p>
    <w:p>
      <w:r>
        <w:t>F-5889/2023 Seite 10 zulässt – auch gelebt wird, so dass die Beziehung grundsätzlich den Schutz von Art. 8 EMRK geniesst. Allerdings ergibt sich daraus kein An- spruch, das Familienleben in einem bestimmten Land zu leben (BGE 138 I 246 E. 3.2.1 S. 250 m.H.). Die Konventionsgarantie schützt das Familien- leben als solches und nicht die freie Wahl des für den Aufbau und die Füh- rung des Familienlebens günstigsten Ortes. Ein Eingriff in den Schutzbe- reich des Familienlebens liegt daher in aller Regel nicht vor, wenn von den Beteiligten ohne Weiteres erwartet werden kann, das Familienleben aus- serhalb der Schweiz zu pflegen. Eine Interessenabwägung nach Art. 8 Ziff. 2 EMRK erübrigt sich unter diesen Umständen. Anders verhält es sich, wenn den Beteiligten nicht oder nicht ohne Weiteres die Kontaktpflege im Ausland zuzumuten ist (BVGE 2011/48 E. 6.3.1 m.H.). Es ist aber nicht ersichtlich, dass Kontakte nur in der Schweiz gepflegt werden könnten, zu- mal der sri-lankische Reisepass Reisen in über vierzig Länder ohne Visum erlaubt (Visumfreie Länder für Inhaber eines Reisepasses von Sri Lanka 2024, https://visaindex.com/de/visa-anforderungen/visumfreie-laender- fuer-inhaber-eines-reisepasses-von-sri-lanka/, abgerufen am 17.01.2024). Es bestehen demzufolge keine Gründe, die es erlauben würden, dem Ge- suchsteller ein humanitäres Visum mit räumlich beschränkter Gültigkeit auszustellen (vgl. E. 4.4 hiervor).</w:t>
      </w:r>
    </w:p>
    <w:p>
      <w:r>
        <w:rPr>
          <w:b/>
        </w:rPr>
        <w:t>E. 7</w:t>
      </w:r>
    </w:p>
    <w:p>
      <w:r>
        <w:t>Aus diesen Darlegungen folgt, dass die angefochtene Verfügung im Lichte von Art. 49 VwVG nicht zu beanstanden ist. Die Beschwerde ist daher ab- zuweisen.</w:t>
      </w:r>
    </w:p>
    <w:p>
      <w:r>
        <w:rPr>
          <w:b/>
        </w:rPr>
        <w:t>E. 8</w:t>
      </w:r>
    </w:p>
    <w:p>
      <w:r>
        <w:t>Bei diesem Ausgang des Verfahrens sind die Kosten der Beschwerdefüh- rerin aufzuerlegen (vgl. Art. 63 Abs. 1 VwVG) und auf insgesamt Fr. 800.– festzusetzen (Art. 1-3 des Reglements vom 21. Februar 2008 über die Kos- ten und Entschädigungen vor dem Bundesverwaltungsgericht [VGKE, SR 173.320.2]). Der am 14. November 2023 in der gleichen Höhe geleis- tete Kostenvorschuss ist zur Bezahlung der Verfahrenskosten zu verwen- den. (Dispositiv nächste Seite)</w:t>
      </w:r>
    </w:p>
    <w:p>
      <w:r>
        <w:t>F-5889/2023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