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F-5820/2018 vom 30. Juli 2019</w:t>
      </w:r>
    </w:p>
    <w:p>
      <w:r>
        <w:t>Bundesverwaltungsgericht, 2019-07-30, FR</w:t>
      </w:r>
    </w:p>
    <w:p>
      <w:r>
        <w:rPr>
          <w:b/>
        </w:rPr>
        <w:t xml:space="preserve">Quelle: </w:t>
      </w:r>
      <w:r>
        <w:t>https://mcp.opencaselaw.ch/entscheid/bvger_F-5820_2018</w:t>
      </w:r>
    </w:p>
    <w:p>
      <w:r>
        <w:t>FR: TAF F-5820/2018 du 30 juillet 2019</w:t>
      </w:r>
    </w:p>
    <w:p>
      <w:r>
        <w:t>IT: TAF F-5820/2018 del 30 luglio 2019</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d'autorisation d'entrée prononcées par le SEM (cf. art. 33 let. d LTAF) sont susceptibles de recours au Tribunal, qui statue définitivement (cf. art. 1 al. 2 LTAF en relation avec l'art. 83 let. c ch. 1 LTF).</w:t>
      </w:r>
    </w:p>
    <w:p>
      <w:r>
        <w:rPr>
          <w:b/>
        </w:rPr>
        <w:t>E. 1.3</w:t>
      </w:r>
    </w:p>
    <w:p>
      <w:r>
        <w:t>A moins que la LTAF n'en dispose autrement, la procédure devant le Tribunal est régie par la PA (cf. art. 37 LTAF).</w:t>
      </w:r>
    </w:p>
    <w:p>
      <w:r>
        <w:rPr>
          <w:b/>
        </w:rPr>
        <w:t>E. 1.4</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Le recourant a qualité pour recourir, étant donné qu'il a participé à la procédure devant l'instance inférieure, qu'il est spécialement atteint par la décision querellée et a un intérêt digne de protection à son annulation, son souhait de pouvoir accueillir B._______ en Suisse demeurant actuel.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2ième éd. 2013, n° 3.197). Aussi peut-elle admettre ou rejeter le pourvoi pour d'autres motifs que ceux invoqués. Dans son arrêt, elle prend en considération l'état de fait tel qu'il se présente au moment où elle statue (cf. ATAF 2014/1 consid. 2).</w:t>
      </w:r>
    </w:p>
    <w:p>
      <w:r>
        <w:rPr>
          <w:b/>
        </w:rPr>
        <w:t>E. 3</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Le Tribunal utilisera donc ci-après cette nouvelle dénomination, étant précisé que les dispositions matérielles traitées dans le présent arrêt n'ont pas connu de modification (cf. l'arrêt du TAF F-2068/2018 et F-2071/2018 du 1er février 2019 consid. 2). Par ailleurs, il convient de relever que l'ordonnance du 22 octobre 2008 sur l'entrée et l'octroi de visas (aOEV), en vigueur au moment de la prise de décision du SEM, a été abrogée et remplacée par l'ordonnance du 15 août 2018 sur l'entrée et l'octroi de visas (OEV, RS 142.204), entrée en vigueur le 15 septembre 2018. En vertu des art. 70 et 71 OEV, la nouvelle ordonnance est applicable aux procédures pendantes lors de son entrée en vigueur.</w:t>
      </w:r>
    </w:p>
    <w:p>
      <w:r>
        <w:rPr>
          <w:b/>
        </w:rPr>
        <w:t>E. 4.1</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w:t>
      </w:r>
    </w:p>
    <w:p>
      <w:r>
        <w:rPr>
          <w:b/>
        </w:rPr>
        <w:t>E. 4.2</w:t>
      </w:r>
    </w:p>
    <w:p>
      <w:r>
        <w:t>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précité p. 3531 ; voir également ATF 135 II 1 consid. 1.1 et ATAF 2014/1 consid. 4.1.1 et les références citées).</w:t>
      </w:r>
    </w:p>
    <w:p>
      <w:r>
        <w:rPr>
          <w:b/>
        </w:rPr>
        <w:t>E. 4.3</w:t>
      </w:r>
    </w:p>
    <w:p>
      <w:r>
        <w:t>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4.1.5 et les références citées).</w:t>
      </w:r>
    </w:p>
    <w:p>
      <w:r>
        <w:rPr>
          <w:b/>
        </w:rPr>
        <w:t>E. 5.1</w:t>
      </w:r>
    </w:p>
    <w:p>
      <w:r>
        <w:t>Les dispositions sur la procédure en matière de visa ainsi que sur l'entrée en Suisse et la sortie de ce pays ne s'appliquent que dans la mesure où les accords d'association à Schengen, qui sont mentionnés à l'annexe 1 ch. 1 LEI ne contiennent pas de dispositions divergentes (cf. art. 2 al. 4 et 5 LEI).</w:t>
      </w:r>
    </w:p>
    <w:p>
      <w:r>
        <w:rPr>
          <w:b/>
        </w:rPr>
        <w:t>E. 5.2</w:t>
      </w:r>
    </w:p>
    <w:p>
      <w:r>
        <w:t>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du 15 mars 2017, JO L 74 du 18 mars 2017, p. 1-7).</w:t>
      </w:r>
    </w:p>
    <w:p>
      <w:r>
        <w:rPr>
          <w:b/>
        </w:rPr>
        <w:t>E. 5.3</w:t>
      </w:r>
    </w:p>
    <w:p>
      <w:r>
        <w:t>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au risque d'immigration illégale (art. 21 par. 1 du code des visas).</w:t>
      </w:r>
    </w:p>
    <w:p>
      <w:r>
        <w:rPr>
          <w:b/>
        </w:rPr>
        <w:t>E. 5.4</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5.5</w:t>
      </w:r>
    </w:p>
    <w:p>
      <w:r>
        <w:t>Le Règlement (CE) 539/2001 du Conseil du 15 mars 2001 (JO L 81 du 21 mars 2001, p. 1-7) - remplacé par le Règlement (UE) 2018/1806 du Parlement européen et du Conseil du 14 novembre 2018 (JO L 303 du 28 novembre 2018, p. 39-58), et qui ne se distingue pas de sa version antérieure sur ce point - différencie, en son art. 1, les ressortissants des Etats tiers selon qu'ils sont soumis ou non à l'obligation du visa. En tant que ressortissante camerounaise, la recourante est soumise à l'obligation de visa (cf. l'annexe 1 des règlements susmentionnés).</w:t>
      </w:r>
    </w:p>
    <w:p>
      <w:r>
        <w:rPr>
          <w:b/>
        </w:rPr>
        <w:t>E. 6</w:t>
      </w:r>
    </w:p>
    <w:p>
      <w:r>
        <w:t>Dans la décision querellée, l'instance inférieure a refusé d'autoriser l'entrée de B._______ en Suisse, au motif que son départ à l'échéance du visa sollicité n'apparaissait pas suffisamment assuré.</w:t>
      </w:r>
    </w:p>
    <w:p>
      <w:r>
        <w:rPr>
          <w:b/>
        </w:rPr>
        <w:t>E. 6.1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 l'étranger concerné (cf. ATAF 2014/1 consid. 6.1 à 6.3). Selon la jurisprudence, un visa peut seulement être octroyé s'il n'existe aucun doute fondé quant au retour de l'étranger dans sa patrie dans les délais impartis (cf. ATAF 2014/1 consid. 4.4).</w:t>
      </w:r>
    </w:p>
    <w:p>
      <w:r>
        <w:rPr>
          <w:b/>
        </w:rPr>
        <w:t>E. 6.2</w:t>
      </w:r>
    </w:p>
    <w:p>
      <w:r>
        <w:t>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ou discriminatoire lorsque dite autorité se fonde sur de tels indices et sur l'évaluation susmentionnée pour appliquer la disposition précitée (cf. ATAF 2014/1 consid. 7.2).</w:t>
      </w:r>
    </w:p>
    <w:p>
      <w:r>
        <w:rPr>
          <w:b/>
        </w:rPr>
        <w:t>E. 6.3</w:t>
      </w:r>
    </w:p>
    <w:p>
      <w:r>
        <w:t>Ces éléments d'appréciation doivent en outre être examinés dans le contexte de la situation générale prévalant dans le pays de provenance de l'intéressé, dans la mesure où il ne peut être exclu qu'une situation moins favorisée aux plans socio-économique ou politique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w:t>
      </w:r>
    </w:p>
    <w:p>
      <w:r>
        <w:rPr>
          <w:b/>
        </w:rPr>
        <w:t>E. 7</w:t>
      </w:r>
    </w:p>
    <w:p>
      <w:r>
        <w:t>Au regard de la situation socio-économique prévalant au Cameroun, on ne saurait de prime abord écarter les craintes émises par l'autorité intimée de voir l'intéressée prolonger son séjour en Suisse ou dans l'Espace Schengen au-delà de la date d'échéance du visa sollicité.</w:t>
      </w:r>
    </w:p>
    <w:p>
      <w:r>
        <w:rPr>
          <w:b/>
        </w:rPr>
        <w:t>E. 7.1</w:t>
      </w:r>
    </w:p>
    <w:p>
      <w:r>
        <w:t>Le produit intérieur brut (PIB) par habitant a été calculé à 1'544 USD pour le Cameroun en 2018, demeurant ainsi très en dessous des standards européens (cf. le site internet du Ministère français des affaires étrangères, www.diplomatie.gouv.fr &gt; dossiers pays &gt; Cameroun &gt; Présentation du Cameroun &gt; Données économiques, consulté en juillet 2019). Selon la Banque mondiale, le Cameroun a subi de plein fouet la chute des prix pétroliers et la part de la population pauvre a augmenté de 12 % entre 2007 et 2014, pour atteindre 8,1 millions d'habitants, en raison d'une croissance démographique plus rapide que le rythme de réduction de la pauvreté (cf. le site web de la Banque mondiale www.banquemondiale.org &gt; Nos pays &gt; Cameroun, consulté en juillet 2019).</w:t>
      </w:r>
    </w:p>
    <w:p>
      <w:r>
        <w:rPr>
          <w:b/>
        </w:rPr>
        <w:t>E. 7.2</w:t>
      </w:r>
    </w:p>
    <w:p>
      <w:r>
        <w:t>En outre, l'indice de développement humain (IDH) 2017, qui prend en compte la santé, l'éducation et le niveau de vie, classe le Cameroun en 151e position sur 189 pays, et la Suisse en 2e position pour la même année (voir le site internet des rapports sur le développement humain du Programme des Nations Unies pour le développement [HDR UNDP] : http://hdr.undp.org &gt; Data, site consulté en juillet 2019).</w:t>
      </w:r>
    </w:p>
    <w:p>
      <w:r>
        <w:rPr>
          <w:b/>
        </w:rPr>
        <w:t>E. 7.3</w:t>
      </w:r>
    </w:p>
    <w:p>
      <w:r>
        <w:t>Sur le plan sécuritaire, le Département fédéral des affaires étrangères (DFAE) fait état de risques d'attentats (notamment par le groupe terroriste Boko Haram), d'incursions armées depuis la République centrafricaine ainsi que d'émeutes de nature politique (www.eda.admin.ch Représentations et conseils aux voyageurs Cameroun Conseils aux voyageurs, consulté en juillet 2019).</w:t>
      </w:r>
    </w:p>
    <w:p>
      <w:r>
        <w:rPr>
          <w:b/>
        </w:rPr>
        <w:t>E. 7.4</w:t>
      </w:r>
    </w:p>
    <w:p>
      <w:r>
        <w:t>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(cf. ATAF 2014/1 consid. 6.2.2 et ATAF 2009/27 consid. 7), comme cela est précisément le cas en l'espèce, en la personne de l'hôte ainsi que d'une connaissance que l'intéressée rencontrée au Cameroun (cf. la lettre de la requérante du 7 juin 2018).</w:t>
      </w:r>
    </w:p>
    <w:p>
      <w:r>
        <w:rPr>
          <w:b/>
        </w:rPr>
        <w:t>E. 7.5</w:t>
      </w:r>
    </w:p>
    <w:p>
      <w:r>
        <w:t>Cela étant, l'autorité ne saurait se fonder sur la seule situation prévalant dans le pays de provenance de l'étranger pour conclure à l'absence de garantie quant à sa sortie ponctuelle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et ATAF 2009/27 consid. 8).</w:t>
      </w:r>
    </w:p>
    <w:p>
      <w:r>
        <w:rPr>
          <w:b/>
        </w:rPr>
        <w:t>E. 8</w:t>
      </w:r>
    </w:p>
    <w:p>
      <w:r>
        <w:t>Il convient dès lors d'examiner si la situation personnelle, familiale, professionnelle et patrimoniale de l'intéressée plaide en faveur de sa sortie ponctuelle de Suisse, respectivement de l'Espace Schengen, au terme du séjour envisagé.</w:t>
      </w:r>
    </w:p>
    <w:p>
      <w:r>
        <w:rPr>
          <w:b/>
        </w:rPr>
        <w:t>E. 8.1</w:t>
      </w:r>
    </w:p>
    <w:p>
      <w:r>
        <w:t>A ce propos, le Tribunal observe en premier lieu que B._______ dispose d'attaches familiales importantes au Cameroun, dès lors que sa mère réside à Douala et la soutient financièrement. Cela étant, au vu des pièces figurant au dossier, il appert que l'intéressée est célibataire et sans enfants, de sorte que le Tribunal estime que la situation familiale de la prénommée n'est pas de nature à garantir son retour au Cameroun après l'échéance du visa requis.</w:t>
      </w:r>
    </w:p>
    <w:p>
      <w:r>
        <w:rPr>
          <w:b/>
        </w:rPr>
        <w:t>E. 8.2</w:t>
      </w:r>
    </w:p>
    <w:p>
      <w:r>
        <w:t>Sur un autre plan, le Tribunal constate que B._______ poursuit des études en management de la qualité, de la sécurité et de l'environnement auprès de l'Institut Y._______ à Douala et n'exerce aucune activité lucrative. Or, le Tribunal considère que l'inscription auprès d'une université ne saurait constituer, à elle seule, un sérieux obstacle à l'émigration. Cela vaut d'autant plus qu'une fois en Suisse, l'intéressée pourrait être tentée de poursuivre ses études auprès d'une institution helvétique ou dans un autre pays de l'Europe.</w:t>
      </w:r>
    </w:p>
    <w:p>
      <w:r>
        <w:rPr>
          <w:b/>
        </w:rPr>
        <w:t>E. 8.3</w:t>
      </w:r>
    </w:p>
    <w:p>
      <w:r>
        <w:t>En outre, le fait que dans son pays d'origine, la requérante puisse compter sur le soutien financier de sa mère ne saurait permettre au Tribunal de qualifier son départ ponctuel de Suisse de suffisamment garanti. En effet, aucun élément du dossier ne permet de considérer que la situation matérielle de la prénommée se trouverait péjorée si elle prenait la décision de demeurer sur le territoire suisse à l'expiration de son visa.</w:t>
      </w:r>
    </w:p>
    <w:p>
      <w:r>
        <w:rPr>
          <w:b/>
        </w:rPr>
        <w:t>E. 8.4</w:t>
      </w:r>
    </w:p>
    <w:p>
      <w:r>
        <w:t>Dans ces conditions, le Tribunal estime que B._______ ne dispose pas, au Cameroun, d'attaches ou de responsabilités suffisantes pour garantir son départ de Suisse au terme du séjour envisagé (cf. consid. 7.5 supra).</w:t>
      </w:r>
    </w:p>
    <w:p>
      <w:r>
        <w:rPr>
          <w:b/>
        </w:rPr>
        <w:t>E. 8.5</w:t>
      </w:r>
    </w:p>
    <w:p>
      <w:r>
        <w:t>Dans ces circonstances, le Tribunal ne saurait reprocher à l'instance inférieure d'avoir confirmé le refus d'autorisation d'entrée dans l'Espace Schengen concernant B._______.</w:t>
      </w:r>
    </w:p>
    <w:p>
      <w:r>
        <w:rPr>
          <w:b/>
        </w:rPr>
        <w:t>E. 9</w:t>
      </w:r>
    </w:p>
    <w:p>
      <w:r>
        <w:t>Il importe par ailleurs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10</w:t>
      </w:r>
    </w:p>
    <w:p>
      <w:r>
        <w:t>Sur un autre plan, le Tribunal observe que le recourant n'a pas invoqué de raisons susceptibles de justifier la délivrance d'un visa à validité territoriale limitée en faveur de A._______ (cf. consid. 5.4 ci-avant).</w:t>
      </w:r>
    </w:p>
    <w:p>
      <w:r>
        <w:rPr>
          <w:b/>
        </w:rPr>
        <w:t>E. 11</w:t>
      </w:r>
    </w:p>
    <w:p>
      <w:r>
        <w:t>A toutes fins utiles, il sied encore de noter que toute activité qui procure normalement un gain est considérée comme activité lucrative au sens de l'art. 11 LEI, même si elle est exercée gratuitement. L'art. 1a OASA précise par ailleurs explicitement que l'activité exercée en qualité de volontaire est également considérée comme activité salariée. Or, l'autorisation en vue d'exercer une activité lucrative est de la compétence des cantons (art. 40 al. 1 LEI) et est par ailleurs soumise à des conditions très restrictives (cf. les art. 18ss LEI). Dans le cas particulier, le Tribunal constate que lors d'un séjour auprès d'une ferme dans le cadre du programme WWOOF, les visiteurs passent en principe environ la moitié de chaque journée à aider avec les travaux de ferme (cf. le site web www.wwoof.ch Comment ça marche Eléments fondamentaux, consulté en juillet 2019). Compte tenu de ce qui précède ainsi que des renseignements figurant au dossier, il n'est pas exclu que le séjour envisagé par la requérante présuppose la délivrance d'une autorisation de travail par l'autorité cantonale compétente. Cela étant, dans le cas d'espèce, la question de savoir si la visite de la requérante avait pour objectif, du moins en partie, l'exercice d'une activité lucrative soumise à autorisation peut demeurer indécise, dès lors que le recours doit être rejeté pour d'autres motifs.</w:t>
      </w:r>
    </w:p>
    <w:p>
      <w:r>
        <w:rPr>
          <w:b/>
        </w:rPr>
        <w:t>E. 12</w:t>
      </w:r>
    </w:p>
    <w:p>
      <w:r>
        <w:t>Compte tenu de l'ensemble des éléments qui précèdent, on ne saurait reprocher à l'instance inférieure d'avoir refusé la délivrance d'une autorisation d'entrée dans l'Espace Schengen en faveur de B._______.</w:t>
      </w:r>
    </w:p>
    <w:p>
      <w:r>
        <w:rPr>
          <w:b/>
        </w:rPr>
        <w:t>E. 13</w:t>
      </w:r>
    </w:p>
    <w:p>
      <w:r>
        <w:t>Il s'ensuit que, par sa décision du 14 septembre 2018, l'autorité intimée n'a ni violé le droit fédéral, ni constaté des faits pertinents de manière inexacte ou incomplète ; en outre, cette décision n'est pas inopportune (art. 49 PA).</w:t>
      </w:r>
    </w:p>
    <w:p>
      <w:r>
        <w:rPr>
          <w:b/>
        </w:rPr>
        <w:t>E. 14</w:t>
      </w:r>
    </w:p>
    <w:p>
      <w:r>
        <w:t>En conséquence, le recours est rejeté. 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