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F-5803/2019 vom 8. November 2019</w:t>
      </w:r>
    </w:p>
    <w:p>
      <w:r>
        <w:t>Bundesverwaltungsgericht, 2019-11-08, FR</w:t>
      </w:r>
    </w:p>
    <w:p>
      <w:r>
        <w:rPr>
          <w:b/>
        </w:rPr>
        <w:t xml:space="preserve">Quelle: </w:t>
      </w:r>
      <w:r>
        <w:t>https://mcp.opencaselaw.ch/entscheid/bvger_F-5803_2019</w:t>
      </w:r>
    </w:p>
    <w:p>
      <w:r>
        <w:t>FR: TAF F-5803/2019 du 8 novembre 2019</w:t>
      </w:r>
    </w:p>
    <w:p>
      <w:r>
        <w:t>IT: TAF F-5803/2019 del 8 novembre 2019</w:t>
      </w:r>
    </w:p>
    <w:p>
      <w:pPr>
        <w:pStyle w:val="Heading2"/>
      </w:pPr>
      <w:r>
        <w:t>Regeste</w:t>
      </w:r>
    </w:p>
    <w:p>
      <w:r>
        <w:t>Asile (non-entrée en matière / procédure Dublin) et renvoi</w:t>
      </w:r>
    </w:p>
    <w:p>
      <w:pPr>
        <w:pStyle w:val="Heading2"/>
      </w:pPr>
      <w:r>
        <w:t>Erwägungen</w:t>
      </w:r>
    </w:p>
    <w:p>
      <w:r>
        <w:rPr>
          <w:b/>
        </w:rPr>
        <w:t>E. 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 En outre l'intéressé a qualité pour recourir (art. 48 al. 1 PA, applicable par renvoi de l'art. 37 LTAF) et le recours a été déposé dans la forme et le délai prescrits par la loi, de sorte qu'il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 ; 2009/54 consid. 1.3.3 ; 2007/8 consid. 5).</w:t>
      </w:r>
    </w:p>
    <w:p>
      <w:r>
        <w:rPr>
          <w:b/>
        </w:rPr>
        <w:t>E. 3.1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principe dit de « pétrification »; voir également ATAF 2012/4 consid. 3.2 ; FILZWIESER/SPRUNG, Dublin III-Verordnung, Vienne 2014, pt. 4 ad art. 7). En revanche, dans une procédure de reprise en charge (anglais : take back),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al. 1 let. b du règlement Dublin III).</w:t>
      </w:r>
    </w:p>
    <w:p>
      <w:r>
        <w:rPr>
          <w:b/>
        </w:rPr>
        <w:t>E. 3.3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 2012/4 consid. 2.4 ;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(OA 1, RS 142.311 ; cf. ATAF 2015/9 consid. 8.2.2 ; 2012/4 consid. 2.4. in fine, et réf. cit.).</w:t>
      </w:r>
    </w:p>
    <w:p>
      <w:r>
        <w:rPr>
          <w:b/>
        </w:rPr>
        <w:t>E. 4</w:t>
      </w:r>
    </w:p>
    <w:p>
      <w:r>
        <w:t>En l'occurrence, les investigations entreprises par le SEM ont révélé, après consultation de l'unité centrale du système européen « Eurodac », que le recourant avait déposé une demande d'asile en Allemagne le 19 juillet 2017. Se basant sur le règlement Dublin III, les autorités allemandes ont alors retenu que l'Italie était compétente pour traiter la demande d'asile de l'intéressé, ce que les autorités italiennes ont accepté le 4 octobre 2017. Le recourant a ainsi été transféré en Italie le 6 juillet 2018 (cf. pce 21/5). Cela étant, il convient de retenir que, en 2017, l'Etat compétent a été déterminé de manière formelle dans une procédure de prise en charge conformément au principe de pétrification (cf. supra consid. 3.2). Partant, comme l'a retenu à juste titre le SEM, il y a lieu de conclure que la présente procédure relève d'une reprise en charge au sens de l'art. 18 al. 1 let. b du règlement Dublin III. Le fait que le recourant n'ait pas déposé de demande d'asile en Italie suite à son transfert n'y change rien. Sur la base de ces prémisses, le SEM, par acte du 24 septembre 2019, a soumis une requête aux fins de son admission aux autorités italiennes conformément à l'art. 18 al. 1 let. b du règlement Dublin III, dans les délais fixés à l'art. 23 par. 2 du règlement Dublin III. N'ayant pas répondu à cette demande dans les délais prévus à l'art. 25 par. 1 de ce règlement, l'Italie est réputée l'avoir acceptée (cf. art. 25 par. 2 dudit règlement). Ce faisant, elle a tacitement admis sa compétence tant pour mener à bien la procédure d'asile du recourant que pour mettre en oeuvre le renvoi de celui-ci de l'Espace Dublin en cas d'issue négative de cette procédure (cf. art. 18 par. 1 et par. 2 du règlement Dublin III ; ATAF 2012/4 consid. 3.2.1). Au surplus, on observera que rien au dossier n'incite à penser que le dépôt d'une demande d'asile aux Pays-Bas le 3 août 2018, puis en Angleterre le 18 novembre 2018, aurait remis en question la compétence de l'Italie pour traiter la demande d'asile en cause, ce que le recourant ne prétend d'ailleurs pas.</w:t>
      </w:r>
    </w:p>
    <w:p>
      <w:r>
        <w:rPr>
          <w:b/>
        </w:rPr>
        <w:t>E. 5.1</w:t>
      </w:r>
    </w:p>
    <w:p>
      <w:r>
        <w:t>Le recourant s'est toutefois opposé à la décision querellée, en inférant qu'il n'était pas autorisé à séjourner en Italie et qu'il ne disposait pas d'un endroit où dormir. Il a également fait valoir qu'il avait été victime de viol à Rome, qu'il s'était fait volé son argent et qu'il n'était pas en sécurité dans ce pays (cf. pce TAF 1).</w:t>
      </w:r>
    </w:p>
    <w:p>
      <w:r>
        <w:rPr>
          <w:b/>
        </w:rPr>
        <w:t>E. 5.2</w:t>
      </w:r>
    </w:p>
    <w:p>
      <w:r>
        <w:t>Selon la jurisprudence, il n'y a pas lieu de retenir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 art. 3 par. 2 2ème phrase du règlement Dublin III). Il est certes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Cependant,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(voir notamment les arrêts de la Cour EDH Tarakhel c. Suisse du 4 novembre 2014, requête n° 29217/12 par. 114 et 115 ; Mohammed Hussein c. Pays Bas et Italie du 2 avril 2013, requête n° 27725/10 par. 78 ; décision d'irrecevabilité N.A. et autres c. Danemark du 28 juin 2016, requête n° 15636/16 par. 27 ; A.S. c. Suisse du 30 juin 2015, requête n° 39350/13 par. 36 et A.M.E. c. Pays-Bas du 13 janvier 2015, requête n° 51428/10 par. 35 ; sur les répercussions du décret Salvini cf., parmi d'autres, arrêt du TAF F-4392/2019 du 4 septembre 2019, p. 9). En outre, l'Italie est liée à la CharteUE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 après : directive Accueil]).</w:t>
      </w:r>
    </w:p>
    <w:p>
      <w:r>
        <w:rPr>
          <w:b/>
        </w:rPr>
        <w:t>E. 6</w:t>
      </w:r>
    </w:p>
    <w:p>
      <w:r>
        <w:t>Cela étant, force est de constater que les faits allégués par le recourant dans son mémoire de recours ne permettent pas de renverser cette présomption. En premier lieu, ses allégations concernant des infractions de viol et de vol dont il aurait été victime sont sujettes à caution, dès lors qu'elles ne sont accompagnées d'aucun moyen de preuve idoine. En tous les cas, on relèvera que l'Italie est un Etat de droit et qu'il incombait à l'intéressé de recourir aux forces de police italiennes en réaction aux faits susmentionnés. Ensuite, on ne saurait suivre l'intéressé lorsqu'il fait grief aux autorités italiennes de ne pas lui avoir fourni un hébergement adéquat, dès lors qu'il n'a jamais déposé de demande d'asile en Italie. Pour les mêmes raisons, l'affirmation selon laquelle les autorités italiennes lui auraient imparti un délai de 7 jours pour quitter ce pays ne peut être déterminante. Finalement, on observera que, durant l'entretien individuel Dublin du 16 septembre 2019, l'intéressé n'a pas invoqué de raison médicale qui s'opposerait à son transfert. Au contraire, il a indiqué ne pas avoir de problèmes de santé. Dans ces conditions, il n'y a aucune raison de penser que les autorités suisses agiraient de manière contraire à leurs obligations internationales en procédant au transfert du recourant en Italie en conformité au règlement Dublin III. En parallèle, on ne saurait reprocher au SEM d'avoir fait un usage erroné de son pouvoir d'appréciation en refusant de traiter la demande d'asile du recourant pour des raisons humanitaires (cf. supra consid. 3.3). Dans ce contexte, il convient de rappeler que le règlement Dublin ne confère pas aux demandeurs d'asile le droit de choisir l'Etat membre offrant, à leur avis, les meilleures conditions d'accueil comme Etat responsable de l'examen de leur demande d'asile (ATAF 2010/45 consid. 8.3).</w:t>
      </w:r>
    </w:p>
    <w:p>
      <w:r>
        <w:rPr>
          <w:b/>
        </w:rPr>
        <w:t>E. 7</w:t>
      </w:r>
    </w:p>
    <w:p>
      <w:r>
        <w:t>C'est donc à juste titre que le SEM n'est pas entré en matière sur la demande de protection de l'intéressé, en application de l'art. 31a al. 1 let. b LAsi, et qu'il a prononcé son transfert de Suisse vers le l'Italie conformément à l'art. 44 LAsi, aucune exception à la règle générale du renvoi n'étant réalisée (art. 32 OA 1). L'Italie demeure dès lors l'Etat responsable de l'examen de la demande d'asile du recourant au sens du règlement Dublin III et est tenue - en vertu de l'art. 18 al. 1 let. b règlement Dublin III dudit règlement - de le reprendre en charge, dans les conditions prévues aux art. 23, 24, 25 et 29.</w:t>
      </w:r>
    </w:p>
    <w:p>
      <w:r>
        <w:rPr>
          <w:b/>
        </w:rPr>
        <w:t>E. 8</w:t>
      </w:r>
    </w:p>
    <w:p>
      <w:r>
        <w:t>Au vu de ce qui précède, le recours doit être rejeté. Se révélant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9</w:t>
      </w:r>
    </w:p>
    <w:p>
      <w:r>
        <w:t>Etant donné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