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F-578/2021 vom 15. Februar 2021</w:t>
      </w:r>
    </w:p>
    <w:p>
      <w:r>
        <w:t>Bundesverwaltungsgericht, 2021-02-15, FR</w:t>
      </w:r>
    </w:p>
    <w:p>
      <w:r>
        <w:rPr>
          <w:b/>
        </w:rPr>
        <w:t xml:space="preserve">Quelle: </w:t>
      </w:r>
      <w:r>
        <w:t>https://mcp.opencaselaw.ch/entscheid/bvger_F-578_2021</w:t>
      </w:r>
    </w:p>
    <w:p>
      <w:r>
        <w:t>FR: TAF F-578/2021 du 15 février 2021</w:t>
      </w:r>
    </w:p>
    <w:p>
      <w:r>
        <w:t>IT: TAF F-578/2021 del 15 febbraio 2021</w:t>
      </w:r>
    </w:p>
    <w:p>
      <w:pPr>
        <w:pStyle w:val="Heading2"/>
      </w:pPr>
      <w:r>
        <w:t>Regeste</w:t>
      </w:r>
    </w:p>
    <w:p>
      <w:r>
        <w:t>Asile (non-entrée en matière / procédure Dublin) et renvoi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4</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4.1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4.2</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références citées).</w:t>
      </w:r>
    </w:p>
    <w:p>
      <w:r>
        <w:rPr>
          <w:b/>
        </w:rPr>
        <w:t>E. 4.3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cf. à ce sujet les ATAF 2015/9 consid. 8.2.2 et 2012/4 consid. 2.4 in fine et les références citées).</w:t>
      </w:r>
    </w:p>
    <w:p>
      <w:r>
        <w:rPr>
          <w:b/>
        </w:rPr>
        <w:t>E. 5.1</w:t>
      </w:r>
    </w:p>
    <w:p>
      <w:r>
        <w:t>Dans le cas particulier, les investigations entreprises par le SEM ont révélé, après consultation de l'unité centrale du système européen « Eurodac », que le recourant avait déposé deux demandes d'asile en France respectivement le 23 juillet 2019 et le 7 février 2020. En date du 9 novembre 2020, le SEM a dès lors soumis aux autorités françaises compétentes, dans le délai fixé à art. 23 par. 2 du règlement Dublin III, une requête aux fins de reprise en charge, fondée sur l'art. 18 par. 1 let. b voire d du règlement Dublin III. Le 15 novembre 2020, lesdites autorités ont accepté la reprise en charge du recourant, en application de l'art. 18 par. 1 let. d du règlement Dublin III. La France a ainsi valablement reconnu sa compétence pour le traitement de la demande d'asile de l'intéressé.</w:t>
      </w:r>
    </w:p>
    <w:p>
      <w:r>
        <w:rPr>
          <w:b/>
        </w:rPr>
        <w:t>E. 5.2</w:t>
      </w:r>
    </w:p>
    <w:p>
      <w:r>
        <w:t>Le recourant ne conteste pas, sur le principe, la compétence de la France, mais s'oppose à son transfert vers cet Etat pour d'autres motifs. Dans ce contexte, il a en particulier mis en avant le fait qu'il était recherché par les membres d'un cartel actif dans le domaine du trafic de stupéfiants en France. En outre, il a argué que son état de santé s'opposait à son départ de Suisse.</w:t>
      </w:r>
    </w:p>
    <w:p>
      <w:r>
        <w:rPr>
          <w:b/>
        </w:rPr>
        <w:t>E. 5.3</w:t>
      </w:r>
    </w:p>
    <w:p>
      <w:r>
        <w:t>S'agissant des menaces de nature privée invoquées par le recourant, le Tribunal observe en premier lieu que l'intéressé n'a fourni aucun élément ou moyen de preuve concret indiquant l'existence d'un risque réel pour le prénommé de subir des mauvais traitements en cas de transfert en France. En outre, la France est un Etat de droit et il n'existe aucun indice laissant penser que les autorités de ce pays n'offriraient pas une protection adéquate contre les agissements décrits par le recourant, à qui il incomberait, le cas échéant, de s'adresser aux autorités policières ou judiciaires compétentes.</w:t>
      </w:r>
    </w:p>
    <w:p>
      <w:r>
        <w:rPr>
          <w:b/>
        </w:rPr>
        <w:t>E. 5.4</w:t>
      </w:r>
    </w:p>
    <w:p>
      <w:r>
        <w:t>Dans son pourvoi du 9 février 2021, le recourant a en particulier insisté sur son état de santé, considérant implicitement qu'au regard de ses troubles médicaux, son transfert vers la France serait contraire à l'art. 17 par. 1 du règlement Dublin III en relation avec l'art. 3 CEDH.</w:t>
      </w:r>
    </w:p>
    <w:p>
      <w:r>
        <w:rPr>
          <w:b/>
        </w:rPr>
        <w:t>E. 5.5</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5.6</w:t>
      </w:r>
    </w:p>
    <w:p>
      <w:r>
        <w:t>En l'espèce, il ressort des nombreux certificats médicaux versés au dossier que le recourant souffre d'un diabète de type 2 non insulino-requérant, de douleurs gastriques régulières ainsi que de troubles anxio-dépressifs (cf. notamment les rapports médicaux du 13 et du 22 janvier 2021). Cela étant, sans vouloir minimiser les troubles affectant l'intéressé, force est de constater que ses problèmes médicaux ne sont pas à ce point graves ou complexes qu'ils nécessiteraient une prise en charge particulière qui ferait opposition à son transfert en France, ni d'ailleurs que le recourant ne serait pas en mesure de voyager. Le dossier ne contient en effet aucun élément permettant de retenir que le transfert de l'intéressé en France l'exposerait à un risque de déclin grave, rapide et irréversible de son état de santé physique ou psychique, de sorte que les conditions très restrictives posées par la jurisprudence à l'application de l'art. 3 CEDH ne sont pas réalisées dans le cas particulier. A toutes fins utiles, on observera encore qu'un éventuel risque de suicide réactionnel ne fait pas obstacle à un transfert dans l'Etat membre compétent si l'Etat responsable du renvoi prend toutes les mesures de prévention adéquates (en ce sens, cf. notamment l'arrêt du TAF F-746/2020 du 13 février 2020 consid. 6.2.1 in fine et les références citées).</w:t>
      </w:r>
    </w:p>
    <w:p>
      <w:r>
        <w:rPr>
          <w:b/>
        </w:rPr>
        <w:t>E. 5.7</w:t>
      </w:r>
    </w:p>
    <w:p>
      <w:r>
        <w:t>Il importe par ailleurs de rappeler dans ce contexte que la France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w:t>
      </w:r>
    </w:p>
    <w:p>
      <w:r>
        <w:rPr>
          <w:b/>
        </w:rPr>
        <w:t>E. 5.8</w:t>
      </w:r>
    </w:p>
    <w:p>
      <w:r>
        <w:t>Partant, compte tenu de l'ensemble des éléments qui précèdent, l'état de santé du recourant ne constitue pas un obstacle à son transfert vers la France au regard de l'art. 3 CEDH en relation avec l'art. 17 par. 1 du règlement Dublin III.</w:t>
      </w:r>
    </w:p>
    <w:p>
      <w:r>
        <w:rPr>
          <w:b/>
        </w:rPr>
        <w:t>E. 5.9</w:t>
      </w:r>
    </w:p>
    <w:p>
      <w:r>
        <w:t>Dans la mesure où le recourant nécessite certains médicaments quant à son diabète et ses douleurs gastriques, le SEM informera cependant les autorités françaises de ce fait lors du transfert.</w:t>
      </w:r>
    </w:p>
    <w:p>
      <w:r>
        <w:rPr>
          <w:b/>
        </w:rPr>
        <w:t>E. 5.10</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6</w:t>
      </w:r>
    </w:p>
    <w:p>
      <w:r>
        <w:t>En conséquence, c'est à bon droit que le SEM n'est pas entré en matière sur la demande d'asile du recourant, en application de l'art. 31a al. 1 let. b LAsi, et qu'il a prononcé son transfert de Suisse vers la France, en application de l'art. 44 LAsi, aucune exception à la règle générale du renvoi n'étant réalisée (art. 32 OA 1).</w:t>
      </w:r>
    </w:p>
    <w:p>
      <w:r>
        <w:rPr>
          <w:b/>
        </w:rPr>
        <w:t>E. 7</w:t>
      </w:r>
    </w:p>
    <w:p>
      <w:r>
        <w:t>Partant, le recours est rejeté. En outre, dans la mesure où il a été immédiatement statué sur le fond, les requêtes formulées dans le mémoire de recours tendant à l'octroi de l'effet suspensif et à la dispense du versement d'une avance de frais sont devenues sans objet.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le recourant ne saurait en effet prétendre à l'octroi de l'assistance judiciaire.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