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F-5787/2016 vom 3. Februar 2017</w:t>
      </w:r>
    </w:p>
    <w:p>
      <w:r>
        <w:t>Bundesverwaltungsgericht, 2017-02-03, DE</w:t>
      </w:r>
    </w:p>
    <w:p>
      <w:r>
        <w:rPr>
          <w:b/>
        </w:rPr>
        <w:t xml:space="preserve">Quelle: </w:t>
      </w:r>
      <w:r>
        <w:t>https://mcp.opencaselaw.ch/entscheid/bvger_F-5787_2016</w:t>
      </w:r>
    </w:p>
    <w:p>
      <w:r>
        <w:t>FR: TAF F-5787/2016 du 3 février 2017</w:t>
      </w:r>
    </w:p>
    <w:p>
      <w:r>
        <w:t>IT: TAF F-5787/2016 del 3 febbraio 2017</w:t>
      </w:r>
    </w:p>
    <w:p>
      <w:pPr>
        <w:pStyle w:val="Heading2"/>
      </w:pPr>
      <w:r>
        <w:t>Regeste</w:t>
      </w:r>
    </w:p>
    <w:p>
      <w:r>
        <w:t>Schengen-Visum</w:t>
      </w:r>
    </w:p>
    <w:p>
      <w:pPr>
        <w:pStyle w:val="Heading2"/>
      </w:pPr>
      <w:r>
        <w:t>Erwägungen</w:t>
      </w:r>
    </w:p>
    <w:p>
      <w:r>
        <w:rPr>
          <w:b/>
        </w:rPr>
        <w:t>E. 1.1</w:t>
      </w:r>
    </w:p>
    <w:p>
      <w:r>
        <w:t>Gemäss Art. 31 des VGG beurteilt das Bundesverwaltungsgericht - unter Vorbehalt der in Art. 32 VGG genannten Ausnahmen - Beschwerden gegen Verfügungen nach Art. 5 des VwVG, die von einer in Art. 33 VGG aufgeführten Behörde erlassen wurden. Darunter fallen u.a. Verfügungen des SEM, mit denen die Erteilung einer Einreisebewilligung verweigert wird.</w:t>
      </w:r>
    </w:p>
    <w:p>
      <w:r>
        <w:rPr>
          <w:b/>
        </w:rPr>
        <w:t>E. 1.2</w:t>
      </w:r>
    </w:p>
    <w:p>
      <w:r>
        <w:t>Sofern das VGG nichts anderes bestimmt, richtet sich das Verfahren vor dem Bundesverwaltungsgericht nach dem VwVG (vgl. Art. 37 VGG).</w:t>
      </w:r>
    </w:p>
    <w:p>
      <w:r>
        <w:rPr>
          <w:b/>
        </w:rPr>
        <w:t>E. 1.3</w:t>
      </w:r>
    </w:p>
    <w:p>
      <w:r>
        <w:t>Die Beschwerdeführerin ist als Verfügungsadressatin gemäss Art. 48 Abs. 1 VwVG zur Beschwerde legitimiert. Auf die im Übrigen frist- und nachträglich formgerecht eingereichte Beschwerde ist einzutreten (vgl. Art. 50 und 52 VwVG).</w:t>
      </w:r>
    </w:p>
    <w:p>
      <w:r>
        <w:rPr>
          <w:b/>
        </w:rPr>
        <w:t>E. 1.4</w:t>
      </w:r>
    </w:p>
    <w:p>
      <w:r>
        <w:t>In der vorliegenden Angelegenheit entscheidet das Bundesverwaltungsgericht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Der angefochtenen Verfügung liegen die Gesuche kubanischer Staatsangehöriger um Erteilung eines Visums für einen dreiwöchigen Aufenthalt in der Schweiz zugrunde. Da sich die Gesuchsteller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2-5 AuG).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BVGE 2014/1 E. 4.1.1 [erster Teil] m.w.H.).</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Art. 4 VEV).</w:t>
      </w:r>
    </w:p>
    <w:p>
      <w:r>
        <w:rPr>
          <w:b/>
        </w:rPr>
        <w:t>E. 3.4</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3.5</w:t>
      </w:r>
    </w:p>
    <w:p>
      <w:r>
        <w:t>Aufgrund ihrer kubanischen Staatsangehörigkeit sind die Gesuchsteller nach Massgabe des Anhangs I der EU-Visa-Verordnung Drittstaatsangehörige, die der Visumspflicht unterliegen. Dementsprechend ist zu prüfen, ob die Vorinstanz die Voraussetzungen zur Erteilung eines Schengen-Visums zu Recht verneint hat.</w:t>
      </w:r>
    </w:p>
    <w:p>
      <w:r>
        <w:rPr>
          <w:b/>
        </w:rPr>
        <w:t>E. 4</w:t>
      </w:r>
    </w:p>
    <w:p>
      <w:r>
        <w:t>Die Vorinstanz begründet die Abweisung der Einsprache im Wesentlichen damit, dass die Wiederausreise der Gesuchsteller nicht gewährleistet sei. Bei der Beurteilung des Kriteriums der gesicherten Wiederausreise muss ein zukünftiges Verhalten beurteilt werden. Hierzu sind lediglich Prognosen möglich, wobei jedoch sämtliche Umstände des konkreten Einzelfalles zu würdigen sind. Dabei sind einerseits die allgemeine Lage im Herkunftsland und andererseits die individuelle Situation der gesuchstellenden Person in die Beurteilung mit einzubeziehen.</w:t>
      </w:r>
    </w:p>
    <w:p>
      <w:r>
        <w:rPr>
          <w:b/>
        </w:rPr>
        <w:t>E. 4.1</w:t>
      </w:r>
    </w:p>
    <w:p>
      <w:r>
        <w:t>Kubas Wirtschaft, welche nach wie vor planwirtschaftlich gelenkt wird, ist im Jahr 2015 um 4,1 % gewachsen (im Jahr 2014 lediglich um 1 %). Zwar wirken sich die Bemühungen des Staates um eine Reduzierung der Importe aus, nennenswerte Steigerungen der Exporte sind jedoch noch nicht zu erkennen. Kuba vermeldet für jedes Jahr einen Überschuss der Zahlungsbilanz. Der für das vergangene Jahr vermeldete Überschuss dürfte vor allem auf dem Dienstleistungsexport (Tourismus und Gesundheitswesen) beruhen. Das Bruttoinlandsprodukt (BIP) wird für das Jahr 2015 offiziell mit 87 Mia Pesos angegeben. Da die beiden nebeneinander existierenden Währungen CUC ("konvertibler" Peso, 1:1 zum USD) und CUP ("Peso Cubano") miteinander vermischt werden, ist eine zuverlässige Berechnung aber kaum möglich. Kubas Volkswirtschaft soll durch punktuelle Änderungen leistungsfähiger werden und die Regierung hat seit 2010 Massnahmen getroffen, mit denen "nichtstaatliche Formen" der Erwerbstätigkeit teils erlaubt, teils gefördert werden sollen. Mittlerweile gibt es in Kuba 520'000 Selbständige, welche vor allem im Kleingewerbe zu finden sind. Seit 2011 ist der Handel zwischen kubanischen Bürgern mit nach 1959 gebauten Autos und mit Immobilien freigegeben. Auf Anfang 2013 traten ein neues Steuergesetz sowie ein neues Arbeitsgesetz in Kraft. Ende 2013 wurde die Genehmigungspflicht für den Kauf eines neuen oder gebrauchten Autos abgeschafft, auf importierte Fahrzeuge wird jedoch ein exorbitanter (Steuer-)Aufschlag von 800% erhoben. Im Juni 2014 folgte ein lange vorbereitetes neues Investitionsgesetz, das explizit auf ausländische Investoren abzielt, um der kubanischen Wirtschaft Schwung zu verleihen. Diese Reformschritte haben bis jetzt jedoch keine merkliche Verbesserung der Lebensbedingungen der Bevölkerung bewirkt. Nach wie vor ist das staatliche monatliche Durchschnittseinkommen sehr gering: Es beträgt 710 CUP, knapp 28 CUC beziehungsweise USD (vgl. zum Ganzen auch www.auswaertiges-amt.de, Aussen- und Europapolitik, Länderinformationen: Länder A - Z, Kuba, Wirtschaft, Stand Dezember 2016, besucht im Januar 2017). Nach wie vor bestimmt sich somit der Lebensstandard der Kubaner durch den Zugang zur konvertiblen Währung, sei es durch Überweisungen aus dem Ausland, durch eine Beschäftigung im Tourismussektor oder einer Tätigkeit in einem Joint Venture (siehe Urteil des BVGer C-4856/2015 vom 8. Juni 2016 E. 5.3).</w:t>
      </w:r>
    </w:p>
    <w:p>
      <w:r>
        <w:rPr>
          <w:b/>
        </w:rPr>
        <w:t>E. 4.2</w:t>
      </w:r>
    </w:p>
    <w:p>
      <w:r>
        <w:t>Bei der Betrachtung der allgemeinen Lage sind auch die Erfahrungen mit der Emigration zu berücksichtigen. So kämpft Kuba seit Jahren mit der Abwanderung seiner Bevölkerung (vgl. Urteil des BVGer C-3950/2014 vom 17. März 2015 E. 6.2 m.w.H.). Zwar begeben sich die meisten Personen in die Vereinigten Staaten, wo sich mittlerweile eine bedeutende Diaspora befindet, wobei aber die USA neuerdings ihre Rückführungspolitik zu ändern beabsichtigen. Die Erfahrung zeigt zudem, dass ein bereits bestehendes (familiäres) Beziehungsnetz in einem anderen Land auch eine Emigration dorthin begünstigt. Wie sich die seit dem 14. Januar 2013 geltenden Reiseerleichterungen für kubanische Staatsangehörige auf die Auswanderungsbewegung auswirken werden, bleibt abzuwarten und kann deshalb zum jetzigen Zeitpunkt nur bedingt in die Beurteilung des allgemeinen Migrationsrisikos mit einbezogen werden.</w:t>
      </w:r>
    </w:p>
    <w:p>
      <w:r>
        <w:rPr>
          <w:b/>
        </w:rPr>
        <w:t>E. 4.3</w:t>
      </w:r>
    </w:p>
    <w:p>
      <w:r>
        <w:t>In Bezug auf die Einschätzung des Migrationsrisikos ist bei kubanischen Staatsangehörigen eine Eigenheit des kubanischen Rechts zu berücksichtigen, welche das SEM in der angefochtenen Verfügung vom 15. September 2016 bereits erwähnt hat (vgl. vorstehend Bst. C). Angesichts der geschilderten Umstände ist nicht zu beanstanden, dass die Vorinstanz das Risiko einer nicht fristgerechten Wiederausreise von Besuchern aus Kuba allgemein als hoch einschätzt.</w:t>
      </w:r>
    </w:p>
    <w:p>
      <w:r>
        <w:rPr>
          <w:b/>
        </w:rPr>
        <w:t>E. 5.1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5.2</w:t>
      </w:r>
    </w:p>
    <w:p>
      <w:r>
        <w:t>Bei den Gesuchstellern handelt es sich zum einen um den heute 53-jährigen verheirateten Familienvater B._______, welcher gemäss seinen Angaben seit 25 Jahren als Touristenführer arbeitet. Die Arbeitgeberin hat in ihrem (undatierten) Schreiben bestätigt, dass er seit 14. Oktober 2015 für die Agentur D._______ arbeite und keine Einwände gegen einen Ferienaufenthalt in der Schweiz bestünden. Der zweite Gesuchsteller, C._______, ist heute 51-Jährig. Er ist ebenfalls verheiratet, Familienvater und arbeitet als Taxifahrer für Touristen. Seit zwei Jahren arbeitet er bei seinem aktuellen Arbeitgeber. Die Gesuchsteller hätten ursprünglich die Gastgeberin und deren Sohn auf deren Reise durch Kuba begleitet. Danach hätten sie in regem Kontakt via Telefon und E-Mail gestanden. Sie pflegten eine freundschaftliche Beziehung und die Beschwerdeführerin möchte ihnen nun die Schweiz zeigen.</w:t>
      </w:r>
    </w:p>
    <w:p>
      <w:r>
        <w:rPr>
          <w:b/>
        </w:rPr>
        <w:t>E. 5.3</w:t>
      </w:r>
    </w:p>
    <w:p>
      <w:r>
        <w:t>Die Beschwerdeführerin hebt hervor, dass das Alter, aber auch die Erwerbstätigkeit sowie die familiären Bindungen der Gesuchsteller in Kuba deutlich gegen ein Migrationsrisiko sprächen. Die Erfahrung zeigt jedoch, dass aufgrund des grossen Lohngefälles zwischen der Schweiz und Staaten wie Kuba selbst ein für einheimische Verhältnisse gutes Salär nicht nachhaltig davon abhalten kann, das Heimatland dauerhaft zu verlassen. Vor diesem Hintergrund ist der Vorinstanz zuzustimmen, dass den Gesuchstellern trotz der familiären Situation keine zwingenden beruflichen Verpflichtungen obliegen.</w:t>
      </w:r>
    </w:p>
    <w:p>
      <w:r>
        <w:rPr>
          <w:b/>
        </w:rPr>
        <w:t>E. 5.4</w:t>
      </w:r>
    </w:p>
    <w:p>
      <w:r>
        <w:t>Auch der von der Beschwerdeführerin in ihrer Eingabe vom 14. Oktober 2016 unterbreitete Vorschlag, die Gesuchsteller "gestaffelt" (nicht gemeinsam, einer nach dem anderen) und mit möglichst wenig "Vorlaufzeit" einreisen zu lassen, vermag das dargelegte Migrationsrisiko nicht wesentlich zu entschärfen. Die Erfahrung zeigt nämlich, dass eine migrationswillige Person häufig einen grossen Aufwand betreibt und keine Mühen oder Ausgaben scheut, um ihren Heimatstaat verlassen und sich in einem anderen Land eine Existenz aufbauen zu können. Vor diesem Hintergrund ist nicht anzunehmen, dass der erste Gast gewillt wäre, fristgerecht wieder auszureisen, um einem weiteren (allenfalls auch migrationswilligen) Gast die Einreise in die Schweiz zu ermöglichen. Sollte es sich beim zweiten Gast um eine migrationswillige Person handeln, ist mit hoher Wahrscheinlichkeit auszuschliessen, dass er sich in der Schweiz regelkonform verhalten und fristgerecht wieder ausreisen würde. Abgesehen davon ist auch die Fernwirkung einer solchen Bewilligungspraxis nicht zu unterschätzen. Würde sie doch migrationswillige Personen geradezu dazu einladen, inskünftig ihre Gesuche "gestaffelt" zu stellen, um so einen Weg zu finden, sich in der Schweiz aufhalten zu können. Gegen eine solche Praxis sprechen somit schon grundsätzliche Überlegungen.</w:t>
      </w:r>
    </w:p>
    <w:p>
      <w:r>
        <w:rPr>
          <w:b/>
        </w:rPr>
        <w:t>E. 5.5</w:t>
      </w:r>
    </w:p>
    <w:p>
      <w:r>
        <w:t>Insgesamt betrachtet sind somit weder in den familiären oder gesellschaftlichen noch beruflichen und damit wirtschaftlichen Verhältnissen der Gesuchsteller Besonderheiten erkennbar, die eine Emigration als unwahrscheinlich erachten lassen.</w:t>
      </w:r>
    </w:p>
    <w:p>
      <w:r>
        <w:rPr>
          <w:b/>
        </w:rPr>
        <w:t>E. 5.6</w:t>
      </w:r>
    </w:p>
    <w:p>
      <w:r>
        <w:t>Vor dem geschilderten Hintergrund ist das Risiko, dass die Gesuchsteller die Schweiz nach einem Besuchsaufenthalt nicht wieder rechtzeitig verlassen könnten, nicht zu unterschätzen. Daran vermögen auch die gegenteiligen Zusicherungen der Beschwerdeführerin nichts zu ändern. Als Gastgeberin kann sie zwar für bestimmte finanzielle Risiken im Zusammenhang mit dem Besuchsaufenthalt, nicht aber für ein bestimmtes Tun oder Unterlassen ihrer Gäste rechtswirksam einstehen (vgl. BVGE 2014/1 E. 6.3.7 m.w.H.). Aus dem gleichen Grund kann auch nicht entscheidend sein, dass die Beschwerdeführerin im Zusammenhang mit dem beabsichtigten Aufenthalt grossen Aufwand betrieben hat.</w:t>
      </w:r>
    </w:p>
    <w:p>
      <w:r>
        <w:rPr>
          <w:b/>
        </w:rPr>
        <w:t>E. 6</w:t>
      </w:r>
    </w:p>
    <w:p>
      <w:r>
        <w:t>Gründe für die Ausstellung eines Visums mit räumlich beschränkter Gültigkeit (vgl. E. 3.4) wurden von der Beschwerdeführerin nicht geltend gemacht und ergeben sich auch sonst nicht aus den Akten.</w:t>
      </w:r>
    </w:p>
    <w:p>
      <w:r>
        <w:rPr>
          <w:b/>
        </w:rPr>
        <w:t>E. 7</w:t>
      </w:r>
    </w:p>
    <w:p>
      <w:r>
        <w:t>Aus den vorstehenden Erwägungen folgt,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