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F-5785/2019 vom 30. April 2020</w:t>
      </w:r>
    </w:p>
    <w:p>
      <w:r>
        <w:t>Bundesverwaltungsgericht, 2020-04-30, DE</w:t>
      </w:r>
    </w:p>
    <w:p>
      <w:r>
        <w:rPr>
          <w:b/>
        </w:rPr>
        <w:t xml:space="preserve">Quelle: </w:t>
      </w:r>
      <w:r>
        <w:t>https://mcp.opencaselaw.ch/entscheid/bvger_F-5785_2019</w:t>
      </w:r>
    </w:p>
    <w:p>
      <w:r>
        <w:t>FR: TAF F-5785/2019 du 30 avril 2020</w:t>
      </w:r>
    </w:p>
    <w:p>
      <w:r>
        <w:t>IT: TAF F-5785/2019 del 30 aprile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AIG ein Einreiseverbot zum Gegenstand haben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(vgl. BVGE 2014/1 E. 2; 2011/43 E. 6.1).</w:t>
      </w:r>
    </w:p>
    <w:p>
      <w:r>
        <w:rPr>
          <w:b/>
        </w:rPr>
        <w:t>E. 3.1</w:t>
      </w:r>
    </w:p>
    <w:p>
      <w:r>
        <w:t>Das Einreiseverbot kann gestützt auf Art. 67 Abs. 2 AIG gegenüber ausländischen Personen verfügt werden, die gegen die öffentliche Sicherheit und Ordnung in der Schweiz oder im Ausland verstossen haben oder diese gefährden (Art. 67 Abs. 2 Bst. a AIG), Sozialhilfekosten verursacht haben (Art. 67 Abs. 2 Bst. b AIG) oder in Vorbereitungs-, Ausschaffungs- oder Durchsetzungshaft genommen werden mussten (Art. 67 Abs. 2 Bst. c AIG). Das Verbot wird für eine Dauer von höchstens fünf Jahren verfügt. Für eine längere Dauer kann es angeordnet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wirft dem Beschwerdeführer in der angefochtenen Verfügung vor, gegen Bestimmungen des Ausländerrechts verstossen zu haben, indem er ohne die erforderliche ausländerrechtliche Bewilligung erwerbstätig gewesen sei. Damit liege ein Verstoss gegen die öffentliche Sicherheit und Ordnung im Sinne von Art. 67 Abs. 2 Bst. a AIG i.V.m. Art. 77a Abs. 1 Bst. a und Art. 77a Abs. 2 VZAE vor.</w:t>
      </w:r>
    </w:p>
    <w:p>
      <w:r>
        <w:rPr>
          <w:b/>
        </w:rPr>
        <w:t>E. 4.2</w:t>
      </w:r>
    </w:p>
    <w:p>
      <w:r>
        <w:t>Der Beschwerdeführer wurde am 1. Oktober 2019 anlässlich einer Baustellenkontrolle von Mitarbeitenden der Kantonspolizei St. Gallen dabei beobachtet, wie er verschiedene Arbeiten, unter anderem das Kleben und Zuschneiden von Platten, ausführte. In der gleichentags erfolgten Einvernahme bestritt der Beschwerdeführer, auf der Baustelle gearbeitet zu haben. Er habe während seines Aufenthalts in der Schweiz einen Freund besucht, welcher sich von einer kurz zuvor erfolgten Operation erholt habe. Anlässlich des Besuchs habe er gesehen, dass verschiedene Handwerker mit Umbauarbeiten beschäftigt gewesen seien. Da sein Freund aufgrund der Operation nicht habe arbeiten können und dessen Frau hochschwanger gewesen sei, habe er ihm spontan während vier Tagen seine Hilfe beim Umbau der Liegenschaft angeboten. Es habe sich hierbei lediglich um eine Hilfeleistung, nicht aber um eine Arbeitsleistung gehandelt, da es ihm an der fachlichen Qualifikation fehle. Für seine Mithilfe habe er keinen Lohn erhalten (SEM act. 2/6-12). Der Beschwerdeführer rügt auf Beschwerdeebene, die Vorinstanz gehe im angefochtenen Einreiseverbot zu Unrecht von einer Erwerbstätigkeit aus und habe hiermit den rechtserheblichen Sachverhalt unrichtig festgestellt und Bundesrecht verletzt (BVGer act. 1).</w:t>
      </w:r>
    </w:p>
    <w:p>
      <w:r>
        <w:rPr>
          <w:b/>
        </w:rPr>
        <w:t>E. 4.3</w:t>
      </w:r>
    </w:p>
    <w:p>
      <w:r>
        <w:t>Der ausländerrechtliche Begriff der Erwerbstätigkeit ist weit gefasst (vgl. statt vieler: Urteil des BVGer F-1827/2018 vom 30. September 2019 E. 6.3.4 und Marc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verrichtet, wenn sie ihrer Art und ihrem Umfang nach auf dem schweizerischen Arbeits- und Dienstleistungsmarkt angeboten wird (vgl. statt vieler: Urteil des BVGer F-3451/2018 vom 22. Januar 2020 E. 5.1 sowie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Abs. 1 VZAE). Einschränkungen des Begriffs Erwerbstätigkeit können sich lediglich dort ergeben, wo der besondere Charakter der Hilfeleistung gerade durch die verwandtschaftliche und emotionale Nähe zwischen den Beteiligten gewährleistet ist und die ausführende Person daher nicht durch einen Dritten ersetzt werden könnte, ohne dass der besondere Charakter der Hilfeleistung verloren ginge (vgl. Urteil BVGer F-4130/2015 vom 16. September 2016 E. 6.2.2 m.H.).</w:t>
      </w:r>
    </w:p>
    <w:p>
      <w:r>
        <w:rPr>
          <w:b/>
        </w:rPr>
        <w:t>E. 4.4</w:t>
      </w:r>
    </w:p>
    <w:p>
      <w:r>
        <w:t>Die Vorinstanz stützte die Fernhaltemassnahme auf die kantonalen Akten, wonach der Beschwerdeführer in der Schweiz erwerbstätig gewesen sei, ohne im Besitze der erforderlichen ausländerrechtlichen Bewilligung zu sein. Das Bundesverwaltungsgericht sieht keine Veranlassung, die erwähnten polizeilichen Feststellungen bei der Anhaltung des Beschwerdeführers in Zweifel zu ziehen, weshalb vorliegend vollumfänglich darauf abzustellen ist. Nach dem Gesagten und aufgrund der dem Gericht vorliegenden Akten steht fest, dass der Beschwerdeführer handwerkliche Hilfsarbeiten ausgeführt und infolgedessen eine Tätigkeit erbracht hat, welche üblicherweise gegen Entgelt verrichtet wird. Die behauptete Unentgeltlichkeit seiner Hilfstätigkeit spielt in diesem Zusammenhang keine Rolle. Schliesslich kann der Erwerbscharakter der vom Beschwerdeführer erbrachten Aushilfe auch nicht damit in Frage gestellt werden, dass diese behaupteterweise einmalig und ungeplant aufgenommen wurde und schon kurze Zeit später hätte eingestellt werden sollen. Der Begriff der Erwerbstätigkeit stellt - wie bereits erwähnt - nicht auf das Ausmass der erbrachten Tätigkeit ab. Da die von ihm erbrachten Hilfeleistungen für seinen Freund auch von jeder anderen beliebigen Person hätten erbracht werden können, ohne dass auf die emotionale Nähe zwischen den Beteiligten abzustellen gewesen wäre, sind vorliegend auch die Voraussetzungen einer solchen Ausnahmesituation nicht erfüllt.</w:t>
      </w:r>
    </w:p>
    <w:p>
      <w:r>
        <w:rPr>
          <w:b/>
        </w:rPr>
        <w:t>E. 4.5</w:t>
      </w:r>
    </w:p>
    <w:p>
      <w:r>
        <w:t>Vor dem aufgezeigten Hintergrund sieht es das Bundesverwaltungsgericht als erwiesen an, dass der Beschwerdeführer im beschriebenen Umfang einer Erwerbstätigkeit im Sinne von Art. 11 Abs. 2 AIG nachgegangen ist, ohne im Besitze der hierfür erforderlichen Bewilligung gewesen zu sein. Das Untersuchungsamt des Kantons St. Gallen hat ihn gemäss Strafbefehl vom 3. Oktober 2019 mit derselben tatbeständlichen Schlussfolgerung der Erwerbstätigkeit ohne Bewilligung schuldig gesprochen. Es kann damit als erstellt gelten, dass er gegen die öffentliche Sicherheit und Ordnung verstossen und einen hinreichenden Anlass zur Verhängung eines Einreiseverbots bewirkt hat (vgl. Art. 67 Abs. 2 Bst. a AIG).</w:t>
      </w:r>
    </w:p>
    <w:p>
      <w:r>
        <w:rPr>
          <w:b/>
        </w:rPr>
        <w:t>E. 5.1</w:t>
      </w:r>
    </w:p>
    <w:p>
      <w:r>
        <w:t>Dem Strafbefehl des Untersuchungsamts St. Gallen zufolge wurde der Beschwerdeführer nebst Erwerbstätigkeit ohne Bewilligung auch wegen rechtswidrigen Aufenthalts bestraft (vgl. Sachverhalt Bst. C). Die Rechtswidrigkeit des Aufenthalts lässt sich vorliegend aus dem Umstand ableiten, dass er wegen Aufnahme einer Erwerbstätigkeit der Bewilligungspflicht unterlegen hätte (Art. 11 Abs. 1 AIG), jedoch keine Bewilligung eingeholt hatte (vgl. Urteil des BVGer F-6097/2017 vom 7. August 2018 E. 5.3 m.H.). Auch mit diesem Verhalten hat er gegen die öffentliche Sicherheit und Ordnung verstossen und zusätzlichen Anlass für die Verhängung eines Einreiseverbotes gegeben (vgl. Art. 67 Abs. 2 Bst. a AIG).</w:t>
      </w:r>
    </w:p>
    <w:p>
      <w:r>
        <w:rPr>
          <w:b/>
        </w:rPr>
        <w:t>E. 5.2</w:t>
      </w:r>
    </w:p>
    <w:p>
      <w:r>
        <w:t>Hinzu kommt, dass er in Ausschaffungshaft genommen und ausgeschafft worden ist, weshalb er auch diesbezüglich Gründe für die Verhängung einer Fernhaltemassnahme gesetzt hat (vgl. Art. 67 Abs. 2 Bst. c AIG).</w:t>
      </w:r>
    </w:p>
    <w:p>
      <w:r>
        <w:rPr>
          <w:b/>
        </w:rPr>
        <w:t>E. 6</w:t>
      </w:r>
    </w:p>
    <w:p>
      <w:r>
        <w:t>Soweit der Beschwerdeführer einwendet, das Strafverfahren sei noch hängig, und er sei nicht rechtskräftig verurteilt worden, ist darauf hinzuweisen, dass das Einreiseverbot nicht an die Erfüllung einer Strafnorm, sondern an das Vorliegen einer Polizeigefahr knüpft, und die Behörde in eigener Kompetenz unter Zugrundelegung spezifisch ausländerrechtlicher Kriterien zu beurteilen hat, ob eine solche besteht. Entsprechend kann ein Einreiseverbot auch dann ergehen, wenn ein rechtskräftiges Strafurteil fehlt, sei es, weil ein Strafverfahren nicht eröffnet wurde, noch hängig ist oder sogar eingestellt wurde (vgl. anstelle vieler Urteil des BVGer C-7068/2013 vom 19. Mai 2015 E. 5.5 m.H.). Es genügt, dass - wie vorliegend - Verdachtsmomente vorliegen, die von den Behörden als hinreichend konkret erachtet werden (vgl. Urteil des BVGer F-5736/2015 vom 6. Januar 2017 E. 6.4 m.H.), wobei die Unschuldsvermutung im Administrativverfahren keine Geltung beanspruchen kann (vgl. Urteil des BVGer C-4921/2010 vom 11. August 2011 E. 5).</w:t>
      </w:r>
    </w:p>
    <w:p>
      <w:r>
        <w:rPr>
          <w:b/>
        </w:rPr>
        <w:t>E. 7.1</w:t>
      </w:r>
    </w:p>
    <w:p>
      <w:r>
        <w:t>Es bleibt zu prüfen, ob die Massnahme in richtiger Ausübung des Ermessens ergangen und angemessen ist.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Wie dargelegt hat der Beschwerdeführer wegen rechtswidrigen Aufenthalts sowie Erwerbstätigkeit ohne Bewilligung gegen ausländerrechtliche Vorschriften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zu beachten (vgl. hierzu Urteil des BVGer F-3163/2017 vom 12. März 2019 E. 6.2 m.H.). Es besteht somit ein gewichtiges öffentliches Interesse an der Fernhaltung des Beschwerdeführers.</w:t>
      </w:r>
    </w:p>
    <w:p>
      <w:r>
        <w:rPr>
          <w:b/>
        </w:rPr>
        <w:t>E. 7.3</w:t>
      </w:r>
    </w:p>
    <w:p>
      <w:r>
        <w:t>Im Rahmen seiner privaten Interessen bringt der Beschwerdeführer vor, das Einreiseverbot schränke seine Bewegungsfreiheit stark ein (BVGer act. 1). Nach Art. 10 Abs. 2 BV hat jeder Mensch das Recht auf persönliche Freiheit, insbesondere auf körperliche und geistige Unversehrtheit und auf Bewegungsfreiheit. Das von der Verfassung garantierte Recht, sich nach freiem Willen und ohne staatliche Eingriffe frei bewegen zu können, steht aber unter dem Vorbehalt ausländerrechtlicher (Bewilligungs-)Vorschriften sowie rechtsgültig angeordneter Fernhaltemassnahmen (vgl. BGE 132 I 49 E. 5.2; Urteil des BVGer C-8677/2010 vom 11. Juni 2013 E. 6; Rainer J. Schweizer, in Bernhard Ehrenzeller et al. [Hrsg.], St. Galler Kommentar zur schweizerischen Bundesverfassung, 3. Aufl. 2014, Art. 10 N. 36). Die Geltendmachung des Rechts auf Bewegungsfreiheit setzt notwendigerweise ein Aufenthaltsrecht in der Schweiz voraus. Weil der Beschwerdeführer ein solches nicht besitzt, kann er sich folglich nicht auf Art. 10 Abs. 2 BV berufen. Daneben bringt er keine privaten Interessen vor, welche eine Aufhebung des Einreiseverbots rechtfertigen könnten.</w:t>
      </w:r>
    </w:p>
    <w:p>
      <w:r>
        <w:rPr>
          <w:b/>
        </w:rPr>
        <w:t>E. 7.4</w:t>
      </w:r>
    </w:p>
    <w:p>
      <w:r>
        <w:t>Zusammenfassend ist festzustellen, dass das vorliegende Einreiseverbot sowohl im Grundsatz als auch hinsichtlich der Dauer eine verhältnismässige und angemessene Massnahme zum Schutz der öffentlichen Sicherheit und Ordnung darstellt. Das verhängte Einreiseverbot entspricht denn auch der Praxis des Bundesverwaltungsgerichts in vergleichbaren Fällen (vgl. etwa Urteile F-5574/2015 vom 18. August 2016; F-4156/2016 vom 8. Dezember 2017).</w:t>
      </w:r>
    </w:p>
    <w:p>
      <w:r>
        <w:rPr>
          <w:b/>
        </w:rPr>
        <w:t>E. 8</w:t>
      </w:r>
    </w:p>
    <w:p>
      <w:r>
        <w:t>Der über das Einreiseverbot hinausgehende Ausschluss der Bewegungsfreiheit im Schengen-Raum, der auf die Ausschreibung des Beschwerdeführers im SIS II zurückzuführen ist (vgl. dazu E. 3.3), ist nicht zu beanstanden (vgl. Art. 21 i.V.m. Art. 24 SIS-II-VO), geht es doch vorliegend um zentrale Bestimmungen der migrationsrechtlichen Ordnung, gegen welche der Beschwerdeführer verstossen hat (Art. 115 Abs. 1 Bst. b AIG, Art. 115 Abs. 1 Bst. c i.V.m. Art. 11 Abs. 1 AIG).</w:t>
      </w:r>
    </w:p>
    <w:p>
      <w:r>
        <w:rPr>
          <w:b/>
        </w:rPr>
        <w:t>E. 9</w:t>
      </w:r>
    </w:p>
    <w:p>
      <w:r>
        <w:t>Aus den vorstehenden Erwägungen ergibt sich, dass die angefochtene Verfügung im Lichte von Art. 49 VwVG nicht zu beanstanden ist. Die Beschwerde ist daher abzuweisen.</w:t>
      </w:r>
    </w:p>
    <w:p>
      <w:r>
        <w:rPr>
          <w:b/>
        </w:rPr>
        <w:t>E. 10</w:t>
      </w:r>
    </w:p>
    <w:p>
      <w:r>
        <w:t>Entsprechend dem Ausgang des Verfahrens sind dem Beschwerdeführer die Verfahrenskosten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