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F-5778/2022 vom 18. März 2026</w:t>
      </w:r>
    </w:p>
    <w:p>
      <w:r>
        <w:t>Bundesverwaltungsgericht, 2026-03-18, DE</w:t>
      </w:r>
    </w:p>
    <w:p>
      <w:r>
        <w:rPr>
          <w:b/>
        </w:rPr>
        <w:t xml:space="preserve">Quelle: </w:t>
      </w:r>
      <w:r>
        <w:t>https://mcp.opencaselaw.ch/entscheid/bvger_F-5778_2022</w:t>
      </w:r>
    </w:p>
    <w:p>
      <w:r>
        <w:t>FR: TAF F-5778/2022 du 18 mars 2026</w:t>
      </w:r>
    </w:p>
    <w:p>
      <w:r>
        <w:t>IT: TAF F-5778/2022 del 18 marzo 2026</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3.1</w:t>
      </w:r>
    </w:p>
    <w:p>
      <w:r>
        <w:t>Am 1. Oktober 2016 sind im Zuge der Umsetzung des mit der Annahme der Ausschaffungsinitiative geschaffenen Art. 121 Abs. 3 bis 6 BV die Be-stimmungen über die obligatorische und fakultative Landesverweisung (Art. 66a ff. StGB) in Kraft getreten. Gleichzeitig sind die Art. 62 Abs. 2 AIG und Art. 63 Abs. 3 AIG eingeführt worden, die den Widerruf von Bewilligungen (und anderer Verfügungen nach dem AIG) für unzulässig erklären, der nur damit begründet wird, dass ein Delikt begangen wurde, für das ein Strafgericht bereits eine Strafe oder Massnahme verhängt, jedoch von einer Landesverweisung abgesehen hat. Damit sollte vermieden werden, dass der unter dem früheren Recht bestandene Dualismus von strafrechtlicher Landesverweisung und ausländerrechtlichem Bewilligungswiderruf wieder eingeführt würde. Der ausländerrechtliche Widerruf ist daher unzulässig, wenn er allein gestützt auf ein Delikt erfolgt, für das ein Strafgericht bereits eine Strafe oder Massnahme verhängt und keine Landesverweisung ausgesprochen hat (BGE 146 II 321 e. 4.6.3 f.; E. 4.7).</w:t>
      </w:r>
    </w:p>
    <w:p>
      <w:r>
        <w:rPr>
          <w:b/>
        </w:rPr>
        <w:t>E. 3.2</w:t>
      </w:r>
    </w:p>
    <w:p>
      <w:r>
        <w:t>Weiter ist zu beachten, dass eine obligatorische (Art. 66a StGB) oder fakultative (Art. 66abis StGB) Landesverweisung zwar nicht aufgrund von Delikten ausgesprochen werden darf, welche vor dem 1. Oktober 2016 begangen wurden, aber solche Delikte bei der Prüfung eines Härtefalls (Art. 66a Abs. 2 StGB) bzw. bei der Prüfung der Verhältnismässigkeit der Landesverweisung (aufgrund von nach dem 1. Oktober 2016 begangenen Delikten) berücksichtigt werden dürfen (BGE 146 II 49 E. 5.2; 146 II 1 E. 2.1.2). Wenn solche Delikte bei der Härtefall- bzw. Verhältnismässigkeitsprüfung berücksichtigt wurden, können die Migrationsbehörden für den administrativen Widerruf der Niederlassungsbewilligung gestützt auf Art. 63 Abs. 1 Bst. a AIG nicht mehr auf diese Delikte abstellen. Andernfalls würde der Dualismus, den Art. 63 Abs. 3 AIG beseitigt, wieder eingeführt (BGE 146 II 1 E. 2.2; Urteil 2C_6/2025 vom 20. Oktober 2025 E. 5.2.2).</w:t>
      </w:r>
    </w:p>
    <w:p>
      <w:r>
        <w:rPr>
          <w:b/>
        </w:rPr>
        <w:t>E. 3.3</w:t>
      </w:r>
    </w:p>
    <w:p>
      <w:r>
        <w:t>Sind mehrere Strafurteile ergangen, wobei ein Strafurteil ausschliesslich vor dem 1. Oktober 2016 begangene Delikte behandelt und das spätere Strafurteil sich mit nach dem 1. Oktober 2016 begangenen Delikten auseinandersetzt (welche die Anordnung einer obligatorischen oder fakultativen Landesverweisung ermöglichen), gilt Folgendes: Es kommt darauf an, ob sich aus der Begründung des späteren Strafurteils oder zumindest dem Antrag der Staatsanwaltschaft ergibt, dass das gesamte deliktische Verhalten der ausländischen Person, also auch die Vorstrafen (für vor dem 1. Oktober 2016 begangene Delikte), bei der Prüfung der Landesverweisung berücksichtigt wurden. Ist dies der Fall, können die Migrationsbehörden aufgrund der vor dem 1. Oktober 2016 begangenen Delikte die Aufenthalts- oder Niederlassungsbewilligung nicht mehr widerrufen, da sie sonst den vom Strafgericht gewürdigten Sachverhalt nochmals beurteilen würden (vgl. BGE 146 II 321 E. 5.1; 146 II 1 E. 2.2; Urteile 2C_352/2023 vom 20. Dezember 2023 E. 4.6; 2C_305/2023 vom 9. November 2023 E. 4.6; 2C_580/2019 vom 9. März 2020 E. 2.4.2).</w:t>
      </w:r>
    </w:p>
    <w:p>
      <w:r>
        <w:rPr>
          <w:b/>
        </w:rPr>
        <w:t>E. 3.4</w:t>
      </w:r>
    </w:p>
    <w:p>
      <w:r>
        <w:t>Eine vergleichbare Regelung der Zulässigkeit eines Einreiseverbots kennt das AIG nicht. Verfügt jedoch eine straffällige ausländische Person über einen Aufenthaltstitel in der Schweiz, der aufgrund von Art. 62 Abs. 2 AIG bzw. Art. 63 Abs. 3 AIG nicht widerrufen werden kann, dann ist im Sinne einer Reflexwirkung auch ein Einreiseverbot nach Art. 67 AIG unzulässig. Auf die Frage, wie zu verfahren ist, wenn die betroffene Person - wie in casu - keinen Aufenthaltstitel besitzt, lässt sich dem AIG weder unmittelbar noch mittelbar eine Antwort entnehmen. In seinem Grundsatzurteil BVGE 2023 VII/7 erkannte das Bundesverwaltungsgericht diesbezüglich eine echte Gesetzeslücke, die es unter Berücksichtigung der vom Gesetzgeber verfolgten Ziele - der Vermeidung des Dualismus und der Verschärfung der bestehenden Praxis gegenüber straffälligen Ausländerinnen und Ausländern - durch eine differenzierte Regelung schloss (ebenda E. 5 und 6.1-6.2 m.H.). Dabei hielt es fest, dass wenn das Strafgericht eine Landesverweisung angeordnet hat, der Grundsatz der Einheit der Rechtsordnung verhindert, dass die Verwaltungsbehörden für dieselben Straftaten strengere Massnahmen erlassen, auch wenn die Landesverweisung und das Einreiseverbot beide das Ziel des Schutzes der öffentlichen Sicherheit verfolgen. Das SEM hat in diesen Fällen keine parallele Zuständigkeit mehr für den Erlass eines Einreiseverbots, selbst wenn es der Ansicht ist, dass die von den Strafbehörden verhängte Landesverweisung offensichtlich zu kurz sei (ebenda E. 6.3).</w:t>
      </w:r>
    </w:p>
    <w:p>
      <w:r>
        <w:rPr>
          <w:b/>
        </w:rPr>
        <w:t>E. 4.1</w:t>
      </w:r>
    </w:p>
    <w:p>
      <w:r>
        <w:t>Die Niederlassungsbewilligung des Beschwerdeführers wurde mit Urteil des Bundesgerichts 2C_447/2022 vom 23. August 2022 rechtskräftig widerrufen und er verfügt nicht mehr über einen gültigen Aufenthaltstitel in der Schweiz. Die Vorinstanz ordnete am 16. November 2022 ein achtjähriges Einreiseverbot an und stützte sich dabei auf Straftaten, die der Beschwerdeführer vor dem 1. Oktober 2016 und damit vor der Einführung der strafrechtlichen Landesverweisung begangen hatte. Während des laufenden Beschwerdeverfahrens vor dem Bundesverwaltungsgericht wurde der Beschwerdeführer mit Urteil des Obergerichts des Kantons F._______ SST.2023.16 vom 15. Juni 2023 für Taten bestraft, die er nach dem 1. Oktober 2016 verübt hatte. Bei der Prüfung, ob hinsichtlich der Anordnung einer Landesverweisung ein Härtefall vorliegt, berücksichtigte das Obergericht bei der Beurteilung der Integration des Beschwerdeführers auch seine frühere Delinquenz und damit Delikte, die er vor dem 1. Oktober 2016 begangen hatte (ebenda E. 4.4.1 S. 13 f.). Es kam unter Berücksichtigung dessen, dass der Beschuldigte in der Schweiz aufgewachsen war, seinen Lebensmittelpunkt hier hatte, zusammen mit seiner Partnerin und gemeinsamer Tochter lebte und arbeitete, dass trotz der insgesamt mangelhaften wirtschaftlichen Integration, der erheblichen sowie wiederholten Delinquenz im Bereich des Betäubungsmittelhandels ein schwerer persönlicher Härtefall im Sinne von Art. 66a Abs. 2 StGB knapp zu bejahen sei. Jedoch überwiege das hohe öffentliche Interesse an der Landesverweisung die privaten Interessen des Beschuldigten am Verbleib in der Schweiz deutlich (ebenda E. 4.4.4).</w:t>
      </w:r>
    </w:p>
    <w:p>
      <w:r>
        <w:rPr>
          <w:b/>
        </w:rPr>
        <w:t>E. 4.2</w:t>
      </w:r>
    </w:p>
    <w:p>
      <w:r>
        <w:t>Zum Zeitpunkt der Verfügung der Vorinstanz vom 16. November 2022 war der Erlass eines Einreiseverbots grundsätzlich zulässig, da noch keine rechtskräftige Landesverweisung vorlag. Mit dem rechtskräftigen Urteil des Obergerichts des Kantons F._______ vom 15. Juni 2023 änderte sich der vorliegende Sachverhalt grundlegend, zumal das Obergericht bei der Prüfung des Vorliegens eines Härtefalls hinsichtlich der Anordnung der Landesverweisung auch Delikte berücksichtigte, die der Beschwerdeführer vor dem 1. Oktober 2016 begangenen hatte. Bei einer solchen Konstellation ist das SEM nicht mehr befugt, ein Einreiseverbot zu erlassen. Nachdem das Bundesverwaltungsgericht vom Urteil des Obergerichts des Kantons F._______ Kenntnis erhalten hatte, lud es die Vorinstanz gestützt auf Art. 57 VwVG zur Duplik ein. Im Rahmen dieses Schriftenwechsels hätte die Vorinstanz ihre Verfügung in Wiedererwägung ziehen können; sie verzichtete jedoch darauf. Aufgrund des vorstehend dargelegten grundlegend veränderten Sachverhalts zum Zeitpunkt des vorliegenden Entscheids ist die Anordnung eines Einreiseverbots nicht mehr zulässig.</w:t>
      </w:r>
    </w:p>
    <w:p>
      <w:r>
        <w:rPr>
          <w:b/>
        </w:rPr>
        <w:t>E. 5</w:t>
      </w:r>
    </w:p>
    <w:p>
      <w:r>
        <w:t>Die Beschwerde ist gutzuheissen und die Verfügung vom 16. November 2022 aufzuheben.</w:t>
      </w:r>
    </w:p>
    <w:p>
      <w:r>
        <w:rPr>
          <w:b/>
        </w:rPr>
        <w:t>E. 6</w:t>
      </w:r>
    </w:p>
    <w:p>
      <w:r>
        <w:t>Entsprechend dem Ausgang des Verfahrens sind keine Kosten aufzuerlegen (Art. 63 Abs. 1 und 2 VwVG). Der einbezahlte Kostenvorschuss ist daher zurückzuerstatten. Dem Beschwerdeführer ist für die ihm durch die anwaltliche Vertretung erwachsenen notwendigen Kosten zulasten der Vorinstanz eine Parteientschädigung in gerichtlich festzusetzender Höhe zuzusprechen (Art 64 Abs. 1 VwVG i.V.m. Art. 7 ff des Reglements vom 21. Februar 2008 über die Kosten und Entschädigungen vor dem Bundesverwaltungsgericht [VGKE, SR 173.320.2]). Mangels Kostennote ist die Höhe der Parteientschädigung aufgrund der Akten festzulegen. Mit Blick auf den aktenkundigen Aufwand sowie in Anwendung der gesetzlichen Bemessungskriterien von Art. 8 ff. VGKE erscheint eine Parteientschädigung von Fr. 1'000.- als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