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F-5754/2024 vom 23. September 2024</w:t>
      </w:r>
    </w:p>
    <w:p>
      <w:r>
        <w:t>Bundesverwaltungsgericht, 2024-09-23, FR</w:t>
      </w:r>
    </w:p>
    <w:p>
      <w:r>
        <w:rPr>
          <w:b/>
        </w:rPr>
        <w:t xml:space="preserve">Quelle: </w:t>
      </w:r>
      <w:r>
        <w:t>https://mcp.opencaselaw.ch/entscheid/bvger_F-5754_2024</w:t>
      </w:r>
    </w:p>
    <w:p>
      <w:r>
        <w:t>FR: TAF F-5754/2024 du 23 septembre 2024</w:t>
      </w:r>
    </w:p>
    <w:p>
      <w:r>
        <w:t>IT: TAF F-5754/2024 del 23 settembre 2024</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 Interjeté dans la forme (art. 52 al. 1 PA) et le délai (art. 108 al. 3 LAsi) prescrits par la loi, le recours est recevable. Conformément à l'art. 33a al. 2 PA, applicable par renvoi des art. 105 LAsi et 37 LTAF, dans la procédure de recours, la langue est celle de la décision attaquée. Si les parties utilisent une autre langue officielle, celle-ci peut être adoptée. En l'espèce, l'autorité inférieure a instruit l'affaire et rendu sa décision en allemand, le recours ayant été rédigé en allemand et partiellement en français. Dans ces circonstances, le Tribunal adopte le français comme langue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à son chapitre III. La procédure de détermination de l'Etat responsable est engagée aussitôt qu'une demande d'asile a été déposée pour la première fois dans un Etat membre (art. 20 par. 1 du règlement Dublin III). En l'espèce, contrairement à ce que soutient le SEM dans sa communication aux autorités espagnoles du 19 juillet 2024 ainsi que dans la décision entreprise, la modalité de l'obligation éventuelle de l'Espagne relève de l'art. 18 par. 1 let. a du règlement Dublin III, soit d'une prise en charge (anglais : take charge), et non de l'art. 18 par. 1 let. b du règlement Dublin III, à savoir d'une reprise en charge (anglais : take back). En effet, le champ d'application de l'art. 18 par. 1 let. b à d du règlement Dublin III n'est ouvert que lorsque l'Etat membre dans lequel la première demande a été déposée clôt la procédure de détermination en admettant sa responsabilité et commence l'examen matériel de la demande (cf. arrêt de Grande chambre de la Cour de justice de l'Union européenne [CJUE], affaires jointes C-582/17 et C-583/17 du 2 avril 2019, points 47 ss ; arrêt du TAF F-2431/2022 du 14 juin 2022 consid. 5.2), ce qui n'est pas le cas en l'espèce. Dans ce contexte, le Tribunal relève en particulier qu'à ce jour, aucun des trois Etats membres auquel le SEM a adressé une requête de « reprise en charge » n'a commencé, au sens de l'art. 2 let. d du règlement Dublin III, l'examen d'une demande de protection internationale concernant le recourant.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(principe de pétrification ;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 603/2013 du Parlement européen et du Conseil du 26 juin 2013 relatif à la création d'Eurodac (ci-après :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que le recourant avait déposé des demandes d'asile aux Pays-Bas et en Allemagne. Les requêtes « de reprise en charge » que le SEM a adressées à ces deux pays, les 11 et 17 juillet 2024 respectivement, ont toutes deux reçu une réponse négative fondée sur la responsabilité de l'Espagne pour le traitement de la demande d'asile en vertu de l'art. 13 par. 1 du règlement Dublin III, appliqué en raison du franchissement irrégulier de la frontière espagnole en provenance d'un Etat tiers. Au vu de ces refus fondés et compte tenu des déclarations de l'intéressé sur son parcours migratoire, le SEM a formulé, le 19 juillet 2024, une ultérieure demande de reprise en charge au sens de l'art. 18 par. 1 let. b du règlement Dublin III destinée aux autorités espagnoles. Comme relevé ci-dessus (cf. supra consid. 3.2), le champ d'application de l'art. 18 par. 1 let. b à d du règlement Dublin III n'est toutefois pas ouvert en l'espèce, de sorte qu'il ne saurait être question d'une reprise en charge. Dans les circonstances d'espèce et compte tenu des déclarations de l'intéressé et des réponses de l'Allemagne et des Pays-Bas, c'est bien plutôt une demande de prise en charge (art. 18 par. 1 let. a du règlement Dublin III) que le SEM aurait dû adresser à l'Espagne. Ainsi qu'il ressort des considérations qui suivent, l'erreur de droit commise par le SEM dans sa demande adressée à l'Espagne ainsi que dans la décision entreprise est sans influence sur l'issue du litige en tant que telle. En effet, il ressort d'une application des critères de responsabilité du chapitre III du règlement Dublin III au cas d'espèce, en fonction du principe de pétrification (art. 7 par. 2 du règlement Dublin III), que c'est bien l'Espagne qui est compétente pour l'examen de la demande d'asile du recourant (cf. art 13 par. 1 du règlement Dublin III), le franchissement irrégulier de la frontière espagnole, en provenance d'un Etat tiers, ayant eu lieu entre le 21 octobre 2022 (départ allégué du pays d'origine) et le 12 mai 2023 (arrivée alléguée en Europe sur le sol espagnol), soit moins de douze mois avant le dépôt de la demande d'asile aux Pays-Bas, le 23 juillet 2023. C'est par ailleurs en mentionnant expressément l'art. 13 par. 1 du règlement Dublin III que les autorités espagnoles ont accepté explicitement de prendre en charge l'intéressé et d'examiner sa demande de protection internationale. De plus, le Tribunal constate que le SEM a adressé sa demande aux autorités espagnoles le 19 juillet 2024, soit dans le respect du délai de trois mois prévu à l'art. 21 par. 1 du règlement Dublin III pour la réquisition de prise en charge. Ce dernier est par ailleurs plus long que le délai de deux mois prévu pour les demandes de reprise en charge (cf. art. 23 par. 2 du règlement Dublin III) que le SEM avait du reste largement respecté. L'Espagne n'ayant pas répondu dans le délai d'un mois prévu à cet effet par l'art. 25 par. 2 du règlement Dublin III pour les cas de reprise en charge, le SEM a constaté, par communication du 20 août 2024, que ce pays avait acquis l'obligation de reprise en charge en vertu de la fiction prévue par cette même disposition. Le Tribunal constate toutefois que les délais de l'art. 25 du règlement Dublin III ne s'appliquent pas aux cas de prise en charge. Ces derniers sont en effet régis par les délais prévus aux art. 21 et 22 du règlement Dublin III, et en particulier par l'art. 22 par. 7 du règlement Dublin III s'agissant des réponses aux requêtes. Cette dernière disposition prévoit que l'absence de réponse à l'expiration du délai ordinaire de deux mois (cf. art. 22 par. 1 du règlement Dublin III) ou du délai extraordinaire d'un mois au plus dans les situations d'urgence invoqué (cf. art. 22 par. 6 du règlement Dublin III) équivaut à l'acceptation de la requête et entraîne l'obligation de prendre en charge la personne concernée, y compris l'obligation d'assurer une bonne organisation de son arrivée. En l'occurrence, le SEM n'ayant pas invoqué l'urgence dans le cadre de sa requête adressée à l'Espagne, la fiction de l'art. 22 par. 7 du règlement Dublin III est soumise au délai ordinaire de deux mois. Il apparaît donc que la communication du SEM du 20 août 2024 était quoi qu'il en soit prématurée, le délai de réponse n'échéant que le 20 septembre 2024 (cf. art. 42 par. 1 et 2 du règlement Dublin III). En répondant positivement le 16 septembre 2024 à la requête du SEM, l'Espagne a respecté le délai règlementaire et il n'est ni utile, ni possible par ailleurs, de recourir à une fiction.</w:t>
      </w:r>
    </w:p>
    <w:p>
      <w:r>
        <w:rPr>
          <w:b/>
        </w:rPr>
        <w:t>E. 3.5</w:t>
      </w:r>
    </w:p>
    <w:p>
      <w:r>
        <w:t>Au vu de ce qui précède, c'est bien l'Espagne qui est responsable pour la procédure d'asile de l'intéressé, ce qu'il ne conteste au demeurant pas en tant que tel dans son mémoire de recours.</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En l'occurrence, il n'y a aucune raison sérieuse de penser qu'il existe, en Espagne, de telles défaillances. En effet, ce pays est lié par la Charte UE et, de surcroît, est partie à la Convention du 28 juillet 1951 relative au statut de réfugiés (RS 0.142.30) ainsi qu'au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(RS 0.105) et, à ce titre, applique les dispositions de ces instruments. Partant, l'Espagne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Par voie de conséquence, l'application de l'art. 3 par. 2 al. 2 du règlement Dublin III ne saurait trouver application en l'espèce. Cela étant, si l'intéressé devait, à l'issue de son transfert en Espagne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w:t>
      </w:r>
    </w:p>
    <w:p>
      <w:r>
        <w:rPr>
          <w:b/>
        </w:rPr>
        <w:t>E. 5</w:t>
      </w:r>
    </w:p>
    <w:p>
      <w:r>
        <w:t>Pour s'opposer à son transfert, le recourant a fait valoir son état de santé ainsi que les traitements médicaux en cours en Suisse, invoquant implicitement la clause humanitaire prévue par l'art. 17 par. 1 du règlement Dublin III.</w:t>
      </w:r>
    </w:p>
    <w:p>
      <w:r>
        <w:rPr>
          <w:b/>
        </w:rPr>
        <w:t>E. 5.1</w:t>
      </w:r>
    </w:p>
    <w:p>
      <w:r>
        <w:t>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Pour ce qui a trait à l'état de santé du recourant, il ne s'agit pas de déterminer si l'étranger bénéficiera, dans le pays de transfert, de soins équivalents à ceux dispensés dans le pays où il se trouve, mais d'examiner si le degré de gravité qu'implique le renvoi, respectivement le transfert, atteint un seuil violant la protection conférée par l'art. 3 CEDH, soit un engagement du pronostic vital ou un déclin grave, rapide et irréversible de la santé tant psychique que physique (cf., notamment, arrêt de la Cour européenne des droits de l'homme [Cour EDH] Paposhvili c/ Belgique [Grande chambre] du 13 décembre 2016, requête no 41738/10 et, plus récemment, arrêt Savran c. Danemark [GC] du 7 décembre 2021, requête n° 57467/15 par. 122 à 139 ; ATAF 2017 VI/7 consid. 6.2). En l'occurrence, le recourant a mis en exergue dans son mémoire de recours des soins prodigués pour une hypertension artérielle ainsi qu'un traitement de soutien en regard de sa toxicomanie. Ces deux affections sont par ailleurs documentées dans les diverses pièces médicales versées au dossier de l'autorité inférieure en date des 16 juillet et 5 et 6 août 2024. Cela étant, rien n'incite à penser qu'en cas de transfert vers l'Espagne, le recourant risquerait d'être exposé à un déclin grave, rapide et irréversible de son état de santé. Il n'est en effet pas atteint d'une maladie d'une gravité ou d'une spécificité telle qu'elle ne pourrait pas être traitée en Espagne qui bénéfice d'une infrastructure médico-sanitaire et de soins comparable à ceux connus en Suisse. En conséquence, si le Tribunal ne met nullement en cause les problèmes de santé dont souffre le recourant, ni même la nature et l'étendue des affections dont il est question, celles-ci ne sauraient faire obstacle à l'exécution du transfert de l'intéressé vers l'Espagne.</w:t>
      </w:r>
    </w:p>
    <w:p>
      <w:r>
        <w:rPr>
          <w:b/>
        </w:rPr>
        <w:t>E. 5.3</w:t>
      </w:r>
    </w:p>
    <w:p>
      <w:r>
        <w:t>Il s'ensuit que le transfert du recourant vers l'Espagne n'est pas contraire aux obligations de la Suisse relevant du droit international public. Le SEM n'était donc pas tenu de renoncer au transfert et d'examiner la demande d'asile de l'intéressé en procédure nationale.</w:t>
      </w:r>
    </w:p>
    <w:p>
      <w:r>
        <w:rPr>
          <w:b/>
        </w:rPr>
        <w:t>E. 6</w:t>
      </w:r>
    </w:p>
    <w:p>
      <w:r>
        <w:t>Dans ces circonstances, le Tribunal constate que le SEM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par l'intéressé, la motivation du SEM à ce titre, comprenant une pesée des intérêts, est fondée en fait et en droit.</w:t>
      </w:r>
    </w:p>
    <w:p>
      <w:r>
        <w:rPr>
          <w:b/>
        </w:rPr>
        <w:t>E. 7</w:t>
      </w:r>
    </w:p>
    <w:p>
      <w:r>
        <w:t>Au regard de l'ensemble des éléments qui précèdent, c'est à bon droit que le SEM n'est pas entré en matière sur la demande d'asile de l'intéressé, en application de l'art. 31a al. 1 let. b LAsi, et qu'il a prononcé son transfert vers l'Espagne conformément à l'art. 44 phr. 1 LAsi, aucune exception à la règle générale du renvoi n'étant réalisée (cf. art. 32 OA 1). Le recours est par conséquent rejeté. Il est par ailleurs renoncé à un échange d'écritures (art. 111a al. 1 LAsi). Dans la mesure où il a été immédiatement statué sur le fond, les requêtes d'octroi de l'effet suspensif et d'exemption du paiement d'une avance de frais sont sans objet. Le litige prenant fin, les mesures superprovisionnelles prononcées 16 septembre 2024 sont caduques.</w:t>
      </w:r>
    </w:p>
    <w:p>
      <w:r>
        <w:rPr>
          <w:b/>
        </w:rPr>
        <w:t>E. 8</w:t>
      </w:r>
    </w:p>
    <w:p>
      <w:r>
        <w:t>Le recourant ne disposant manifestement pas de ressources financières suffisantes et les conclusions du recours ne pouvant, au vu de ce qui précède, être considérées comme d'emblée vouées à l'échec, la requête d'assistance judiciaire partielle est admise (art. 65 al. 1 PA). Il n'est donc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