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F-5753/2025 vom 11. August 2025</w:t>
      </w:r>
    </w:p>
    <w:p>
      <w:r>
        <w:t>Bundesverwaltungsgericht, 2025-08-11, FR</w:t>
      </w:r>
    </w:p>
    <w:p>
      <w:r>
        <w:rPr>
          <w:b/>
        </w:rPr>
        <w:t xml:space="preserve">Quelle: </w:t>
      </w:r>
      <w:r>
        <w:t>https://mcp.opencaselaw.ch/entscheid/bvger_F-5753_2025</w:t>
      </w:r>
    </w:p>
    <w:p>
      <w:r>
        <w:t>FR: TAF F-5753/2025 du 11 août 2025</w:t>
      </w:r>
    </w:p>
    <w:p>
      <w:r>
        <w:t>IT: TAF F-5753/2025 del 11 agosto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En particulier, si le demandeur est titulaire d'un titre de séjour en cours de validité, l'Etat membre qui l'a délivré est responsable de l'examen de la demande de protection internationale (art. 12 par. 1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2.3</w:t>
      </w:r>
    </w:p>
    <w:p>
      <w:r>
        <w:t>En l'occurrence, à la suite de la requête soumise par le SEM dans le délai prévu à l'art. 21 par. 1 RD III, les autorités roumaines compétentes ont accepté la prise en charge de l'intéressé, dans le respect du délai fixé à l'art. 22 par. 1 RD III, en précisant que celui-ci était toujours détenteur d'un titre de séjour valable. Ainsi, la Roumanie est responsable du traitement de la demande d'asile du recourant.</w:t>
      </w:r>
    </w:p>
    <w:p>
      <w:r>
        <w:rPr>
          <w:b/>
        </w:rPr>
        <w:t>E. 3.1</w:t>
      </w:r>
    </w:p>
    <w:p>
      <w:r>
        <w:t>Au vu de l'art. 3 par. 2 du règlement Dublin III, il convient à présent d'analyser s'il y a des raisons de considérer qu'il existe, en Roumanie,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3.2</w:t>
      </w:r>
    </w:p>
    <w:p>
      <w:r>
        <w:t>Conformément à une jurisprudence constante et régulièrement actualisée, il n'y a aucune raison de penser qu'il existe en Roumanie des défaillances systémiques au sens de l'art. 3 par. 2 RD III (cf. arrêt du TAF F-1009/2025 du 1er juillet 2025 consid. 4 et les réf. citées). Partant, le respect par la Roumanie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Si cette présomption peut être renversée par des indices sérieux que les autorités ne respecteraient pas le droit international (cf. ATAF 2017 VI/7 consid. 6.1 et 2010/45 consid. 7.4 et 7.5 ; arrêt du TAF F-1068/2025 du 21 février 2025 consid. 4.2), force est de constater que les affirmations du recourant quant aux mauvais traitements subis en Roumanie n'ont pas dépassé le stade de l'allégation.</w:t>
      </w:r>
    </w:p>
    <w:p>
      <w:r>
        <w:rPr>
          <w:b/>
        </w:rPr>
        <w:t>E. 3.3</w:t>
      </w:r>
    </w:p>
    <w:p>
      <w:r>
        <w:t>Par ailleurs, les arguments invoqués par le recourant quant à son refoulement vers le Cameroun après son transfert en Roumanie sont sans pertinence sur l'issue de la présente cause. En effet, dans la mesure où c'est à bon droit que le SEM a constaté que cet Etat était compétent pour le traitement de la demande d'asile de l'intéressé et que la procédure d'asile y était exempte de défaillances systémiques, il n'appartient pas aux autorités suisses de se prononcer sur la question d'un éventuel renvoi du prénommé vers le Cameroun, respectivement d'une violation du principe de non-refoulement (cf. arrêt de la Cour de justice de l'Union européenne du 30 novembre 2023, affaires jointes C-228/21, C-254/21, C-297/21, C-315/21 et C-328/21, point 2 du dispositif).</w:t>
      </w:r>
    </w:p>
    <w:p>
      <w:r>
        <w:rPr>
          <w:b/>
        </w:rPr>
        <w:t>E. 4</w:t>
      </w:r>
    </w:p>
    <w:p>
      <w:r>
        <w:t>Le recourant fait également valoir que son état de santé s'oppose à un transfert vers la Roumanie sous l'angle de l'art. 3 CEDH.</w:t>
      </w:r>
    </w:p>
    <w:p>
      <w:r>
        <w:rPr>
          <w:b/>
        </w:rPr>
        <w:t>E. 4.1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de la Cour EDH Paposhvili c. Belgique [GC], du 13 décembre 2016, req. 41738/10, confirmé dans l'arrêt Savran c. Danemark [GC], du 7 décembre 2021, req. 57467/15 ; ATAF 2017 VI/7 consid. 6.2 et les réf. cit.).</w:t>
      </w:r>
    </w:p>
    <w:p>
      <w:r>
        <w:rPr>
          <w:b/>
        </w:rPr>
        <w:t>E. 4.2</w:t>
      </w:r>
    </w:p>
    <w:p>
      <w:r>
        <w:t>En l'espèce, le recourant souffre d'hypertension, de douleurs thoraciques indéterminées et présente un syndrome de stress post-traumatique ainsi qu'un état dépressif (épisode dépressif moyen). Sans minimiser la situation médicale de l'intéressé, le Tribunal constate que rien n'incite à penser qu'en cas de transfert, celui-ci risquerait d'être exposé à un déclin grave, rapide et irréversible de son état de santé. Il n'est pas atteint d'une maladie d'une gravité ou d'une spécificité telle qu'elle ne pourrait pas être traitée dans cet Etat, qui dispose de structures médicales accessibles et de bonne qualité (cf. arrêt du TAF F-1009/2025 du 1er juillet 2025 consid. 5.4), étant encore précisé qu'il est actuellement sous traitement. Il incombera cas échéant au recourant, une fois son transfert en Roumanie effectué, d'y déposer une demande d'asile et de se prévaloir des droits octroyés par les différentes directives auxquelles cet Etat est partie, notamment la directive n° 2013/33/UE du Parlement européen et du Conseil du 26 juin 2013 établissant des normes pour l'accueil des personnes demandant la protection internationale (ci-après : directive Accueil), dont l'art. 19 al. 1 dispose que les États membres font en sorte que les demandeurs reçoivent les soins médicaux nécessaires qui comportent, au minimum, les soins urgents et le traitement essentiel des maladies et des troubles mentaux graves.</w:t>
      </w:r>
    </w:p>
    <w:p>
      <w:r>
        <w:rPr>
          <w:b/>
        </w:rPr>
        <w:t>E. 4.3</w:t>
      </w:r>
    </w:p>
    <w:p>
      <w:r>
        <w:t>Par conséquent, il y a lieu de retenir que les problèmes de santé, sous contrôle médical, dont le recourant est atteint - et dont le Tribunal ne remet pas en cause l'étendue - ne sauraient faire obstacle à l'exécution de son transfert vers la Roumanie. Au surplus, et par appréciation anticipée des preuves, il n'apparaît pas nécessaire d'attendre les résultats du prochain contrôle de l'intéressé au CHUV (cf. ATF 146 III 73 consid. 5.2.2). Le Tribunal considère ainsi être suffisamment informé sur l'état de santé du recourant et constate que, sur le vu du dossier, celui-ci ne souffre pas de symptômes inexpliqués justifiant d'attendre les résultats du contrôle précité.</w:t>
      </w:r>
    </w:p>
    <w:p>
      <w:r>
        <w:rPr>
          <w:b/>
        </w:rPr>
        <w:t>E. 4.4</w:t>
      </w:r>
    </w:p>
    <w:p>
      <w:r>
        <w:t>Quoi qu'il en soit, si après son retour en Roumanie, l'intéressé devait être contraint par les circonstances à mener une existence non conforme à la dignité humaine, ou si ce pays devait violer ses obligations d'assistance, ou de toute autre manière porter atteinte à ses droits fondamentaux, il appartiendrait au requérant, le cas échéant, de faire valoir ses droits directement auprès des autorités compétentes, en usant des voies de droit idoines (cf. art. 26 directive Accueil).</w:t>
      </w:r>
    </w:p>
    <w:p>
      <w:r>
        <w:rPr>
          <w:b/>
        </w:rPr>
        <w:t>E. 5</w:t>
      </w:r>
    </w:p>
    <w:p>
      <w:r>
        <w:t>S'agissant enfin du caractère de potentielle victime de la traite des êtres humains que l'autorité inférieure a reconnu au recourant, le Tribunal rappelle que la Roumanie est partie à la CTEH et se doit dès lors d'assurer aux victimes une assistance adéquate, tant juridique que médicale (cf. art. 12 et 15 de la CTEH). De plus, dans sa requête de prise en charge, le SEM a dûment informé les autorités roumaines du statut du recourant. En acceptant de le prendre en charge, celles-ci se sont dès lors engagées à lui procurer l'encadrement nécessaire. Au surplus, aucune procédure n'a été lancée sur le sol helvétique suite à la découverte de ces faits, ceux-ci n'ayant aucun lien de rattachement avec la Suisse. La présence en Suisse de l'intéressé n'a dès lors pas à y être assurée.</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(cf. ATAF 2022 I/6 consid. 4.3.3.1, 2015/9 consid. 8).</w:t>
      </w:r>
    </w:p>
    <w:p>
      <w:r>
        <w:rPr>
          <w:b/>
        </w:rPr>
        <w:t>E. 7.1</w:t>
      </w:r>
    </w:p>
    <w:p>
      <w:r>
        <w:t>Au regard de l'ensemble des éléments qui précèdent, c'est à bon droit que le SEM n'est pas entré en matière sur la demande d'asile de l'intéressé, en application de l'art. 31a al. 1 let. b LAsi, et qu'il a prononcé son transfert vers la Roumanie conformément à l'art. 44 1ère phrase LAsi, étant précisé qu'aucune exception à la règle générale du renvoi n'est réalisée (cf. art. 32 OA 1). Le recours est par conséquent rejeté.</w:t>
      </w:r>
    </w:p>
    <w:p>
      <w:r>
        <w:rPr>
          <w:b/>
        </w:rPr>
        <w:t>E. 7.2</w:t>
      </w:r>
    </w:p>
    <w:p>
      <w:r>
        <w:t>S'avérant manifestement infondé, il est rejeté dans une procédure à juge unique avec l'approbation d'un second juge (art. 111 let. e LAsi). Il est dès lors renoncé à un échange d'écritures et le présent arrêt n'est motivé que sommairement (art. 111a al. 1 et 2 LAsi).</w:t>
      </w:r>
    </w:p>
    <w:p>
      <w:r>
        <w:rPr>
          <w:b/>
        </w:rPr>
        <w:t>E. 7.3</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