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F-5751/2017 vom 27. März 2019</w:t>
      </w:r>
    </w:p>
    <w:p>
      <w:r>
        <w:t>Bundesverwaltungsgericht, 2019-03-27, FR</w:t>
      </w:r>
    </w:p>
    <w:p>
      <w:r>
        <w:rPr>
          <w:b/>
        </w:rPr>
        <w:t xml:space="preserve">Quelle: </w:t>
      </w:r>
      <w:r>
        <w:t>https://mcp.opencaselaw.ch/entscheid/bvger_F-5751_2017</w:t>
      </w:r>
    </w:p>
    <w:p>
      <w:r>
        <w:t>FR: TAF F-5751/2017 du 27 mars 2019</w:t>
      </w:r>
    </w:p>
    <w:p>
      <w:r>
        <w:t>IT: TAF F-5751/2017 del 27 marzo 2019</w:t>
      </w:r>
    </w:p>
    <w:p>
      <w:pPr>
        <w:pStyle w:val="Heading2"/>
      </w:pPr>
      <w:r>
        <w:t>Regeste</w:t>
      </w:r>
    </w:p>
    <w:p>
      <w:r>
        <w:t>Interdiction d'entrée</w:t>
      </w:r>
    </w:p>
    <w:p>
      <w:pPr>
        <w:pStyle w:val="Heading2"/>
      </w:pPr>
      <w:r>
        <w:t>Erwägungen</w:t>
      </w:r>
    </w:p>
    <w:p>
      <w:r>
        <w:rPr>
          <w:b/>
        </w:rPr>
        <w:t>E. 9</w:t>
      </w:r>
    </w:p>
    <w:p>
      <w:r>
        <w:t>Il reste à examiner si l'inscription de l'interdiction d'entrée à l'encontre du recourant dans le SIS se justifie.</w:t>
      </w:r>
    </w:p>
    <w:p>
      <w:r>
        <w:rPr>
          <w:b/>
        </w:rPr>
        <w:t>E. 9.1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9.2</w:t>
      </w:r>
    </w:p>
    <w:p>
      <w:r>
        <w:t>Compte tenu des multiples infractions en matière de droit des étrangers retenues à l'encontre de l'intéressé,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 en procédant selon les modalités prévues à cette fin (cf. arrêts du TAF F-530/2017 du 1er décembre 2017 consid. 3.4 et F-465/2017 du 12 mars 2019 consid. 7.5 à 7.8).</w:t>
      </w:r>
    </w:p>
    <w:p>
      <w:r>
        <w:rPr>
          <w:b/>
        </w:rPr>
        <w:t>E. 10</w:t>
      </w:r>
    </w:p>
    <w:p>
      <w:r>
        <w:t>Au vu de ce qui précède, le Tribunal considère que l'autorité inférieure, par sa décision du 26 septembre 2017, n'a pas violé le droit fédéral. En outre, la décision n'est pas inopportune (art. 49 PA). Le recours est par conséquent rejeté.</w:t>
      </w:r>
    </w:p>
    <w:p>
      <w:r>
        <w:rPr>
          <w:b/>
        </w:rPr>
        <w:t>E. 11</w:t>
      </w:r>
    </w:p>
    <w:p>
      <w:r>
        <w:t>Au vu de l'issue du litige, il y a lieu de mettre les frais de procédure à la charge du recourant, en application de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