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F-5736/2015 vom 6. Januar 2017</w:t>
      </w:r>
    </w:p>
    <w:p>
      <w:r>
        <w:t>Bundesverwaltungsgericht, 2017-01-06, DE</w:t>
      </w:r>
    </w:p>
    <w:p>
      <w:r>
        <w:rPr>
          <w:b/>
        </w:rPr>
        <w:t xml:space="preserve">Quelle: </w:t>
      </w:r>
      <w:r>
        <w:t>https://mcp.opencaselaw.ch/entscheid/bvger_F-5736_2015</w:t>
      </w:r>
    </w:p>
    <w:p>
      <w:r>
        <w:t>FR: TAF F-5736/2015 du 6 janvier 2017</w:t>
      </w:r>
    </w:p>
    <w:p>
      <w:r>
        <w:t>IT: TAF F-5736/2015 del 6 gennaio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Die Beschwerdeführerin rügt in formeller Hinsicht eine Verletzung des Anspruchs auf rechtliches Gehör (vgl. Art. 29 Abs. 2 BV und Art. 29 ff. VwVG). Die Vorinstanz habe das Einreiseverbot erlassen, ohne ihr vorgängig Gelegenheit zur Stellungnahme eingeräumt zu haben. Im Weiteren sei die Verfügung mangelhaft begründet worden, umschreibe doch die Vor-instanz mit keinem Wort, inwiefern die Beschwerdeführerin die öffentliche Sicherheit und Ordnung gefährdet habe.</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Gleichsam das Kernelement des rechtlichen Gehörs ist das Recht auf vorgängige Äusserung und Anhörung,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2009, Art. 29 N 80 ff., Art. 30 N 3 ff. u. Art. 32 N 7 ff.; Kölz/Häner/Bertschi, Verwaltungsverfahren und Verwaltungsrechtspflege des Bundes, 3. Aufl., 2013, N 214 ff. u. N 546 f.). In engem Konnex hiermit steht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Dies bedeutet indessen nicht, dass sie sich ausdrücklich mit jeder tatbeständlichen Behauptung und jedem rechtlichen Einwand auseinandersetzen muss. Vielmehr kann sie sich auf die für den Entscheid wesentlichen Gesichtspunkte beschränken.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a.a.O., N 629 ff.; Lorenz Kneubühler, Die Begründungspflicht, 1998, S. 26 ff. u. S. 178 ff.; René Wiederkehr, Die Begründungspflicht nach Art. 29 Abs. 2 BV und die Heilung bei Verletzung, ZBl 9/2010 S. 484 ff.).</w:t>
      </w:r>
    </w:p>
    <w:p>
      <w:r>
        <w:rPr>
          <w:b/>
        </w:rPr>
        <w:t>E. 3.3</w:t>
      </w:r>
    </w:p>
    <w:p>
      <w:r>
        <w:t>Entgegen ihrer anderslautenden Behauptung hatte die Beschwerdeführerin sehr wohl Gelegenheit, zur gegen sie verhängten Fernhaltemassnahme vorgängig Stellung zu nehmen. Anlässlich der Einvernahme durch die Luzerner Polizei vom 14. August 2015, welche mit Hilfe eines Übersetzers oder einer Übersetzerin erfolgte, wurde die Beschwerdeführerin ausdrücklich darauf hingewiesen, dass die zuständigen Behörden die Verhängung einer Fernhaltemassnahme gegen sie prüfen könnten. Auf die anschliessende Frage, ob sie sich dazu äussern wolle, liess die Beschwerdeführerin allerdings nur festhalten, sie nehme davon Kenntnis. Dass das rechtliche Gehör nicht von der Vorinstanz selbst, sondern von der Luzerner Polizei gewährt wurde, ist ebenfalls nicht zu beanstanden (vgl. Patrick Sutter, in: Auer/Müller/Schindler (Hrsg.), Kommentar zum Bundesgesetz über das Verwaltungsverfahren (VwVG), 2008, Rz. 6 zu Art. 30 sowie anstelle mehrerer Urteil des BVGer C-5190/2014 vom 25. September 2015 E. 3 m.H.). Abgesehen davon besteht hier ein enger zeitlicher Zusammenhang zwischen Gehörsgewährung und Verfügungserlass. Ihr Gehörsanspruch wurde somit durch das beschriebene Vorgehen der Behörden ohne weiteres gewahrt.</w:t>
      </w:r>
    </w:p>
    <w:p>
      <w:r>
        <w:rPr>
          <w:b/>
        </w:rPr>
        <w:t>E. 3.4</w:t>
      </w:r>
    </w:p>
    <w:p>
      <w:r>
        <w:t>Die Begründung der angefochtenen Verfügung ist unter dem Aspekt des Anspruchs auf rechtliches Gehör als genügend zu erachten. Aus ihr geht mit hinreichender Klarheit hervor, auf welchen Sachverhalt die Vorinstanz abstellte und welche gesetzliche Folge sie diesem gab. Völlig zu Recht macht die Beschwerdeführerin auch nicht geltend, dass sie daran gehindert worden wäre, die Verfügung sachgerecht anfechten zu können.</w:t>
      </w:r>
    </w:p>
    <w:p>
      <w:r>
        <w:rPr>
          <w:b/>
        </w:rPr>
        <w:t>E. 3.5</w:t>
      </w:r>
    </w:p>
    <w:p>
      <w:r>
        <w:t>Als nicht zutreffend erweist sich schliesslich der Einwand des Rechtsvertreters, die Vorinstanz habe in keiner Weise auf sein Akteneinsichtsgesuch vom 9. September 2015 reagiert und damit eine Rechtsverweigerung begangen. Aus den vorinstanzlichen Akten geht diesbezüglich nämlich hervor, dass das SEM dem Parteivertreter bereits mit Schreiben vom 11. September 2015 die entsprechenden Akten als Kopien aus seinem elektronischen Archiv zugehen liess.</w:t>
      </w:r>
    </w:p>
    <w:p>
      <w:r>
        <w:rPr>
          <w:b/>
        </w:rPr>
        <w:t>E. 4.1</w:t>
      </w:r>
    </w:p>
    <w:p>
      <w:r>
        <w:t>Hinsichtlich der vom Rechtsvertreter als Beweismassnahme beantragten Befragung der Beschwerdeführerin ist Folgendes festzuhalten: Im Verwaltungsverfahren gilt das Untersuchungsprinzip (Art. 12 ff. VwVG i.V.m. Art. 37 VGG). Die Behörden sorgen - unter Vorbehalt der Mitwirkungspflichten der Parteien - hierbei für die richtige und vollständige Abklärung des rechtserheblichen Sachverhalts (BGE 132 II 113 E. 3.2 S. 115). Das Verwaltungsrechtspflegeverfahren ist vom Grundsatz der Schriftlichkeit geprägt (Moser et al., Prozessieren vor dem Bundesverwaltungsgericht, 2. Aufl. 2013, Rz. 3.86 S. 183 m.H.) und ein Anspruch auf eine mündliche Anhörung besteht grundsätzlich nicht (BGE 134 I 140 E. 5.3 S. 148).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S. 485 m.H.). Bezüglich der beantragten Einvernahme von drei Prostituierten als Zeuginnen gilt es darauf hinzuweisen, dass die Einvernahme von Zeuginnen und Zeugen nach Art. 14 VwVG nur unter der einschränkenden Voraussetzung anzuordnen ist, dass sich der Sachverhalt auf andere Weise nicht hinreichend abklären lässt (BGE 130 II 169 E. 2.3.3 und 2.3.4 S. 173), es handelt sich mithin um ein subsidiäres Beweismittel (siehe hierzu Christoph Auer, in: Kommentar zum Bundesgesetz über das Verwaltungsverfahren [VwVG], 2008, Rz. 37 zu Art. 12, ferner Urteile des BGer 1C_427/2008 vom 2. Februar 2009 E. 2.2 und 1C_254/2008 vom 15.September 2008 E. 4.2).</w:t>
      </w:r>
    </w:p>
    <w:p>
      <w:r>
        <w:rPr>
          <w:b/>
        </w:rPr>
        <w:t>E. 4.2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m.H. oder Urteile des BGer 1C_179/2014 vom 2. September 2014 E. 3.2 und 1C_193/2010 vom 4. November 2010 E. 2.8).</w:t>
      </w:r>
    </w:p>
    <w:p>
      <w:r>
        <w:rPr>
          <w:b/>
        </w:rPr>
        <w:t>E. 4.3</w:t>
      </w:r>
    </w:p>
    <w:p>
      <w:r>
        <w:t>Im vorliegenden Fall erschliesst sich der entscheidswesentliche Sachverhalt, wie nachfolgend zu zeigen sein wird, in hinreichender Weise aus den Akten. Was die Befragung der Beschwerdeführerin anbelangt, so hatte diese vor Erlass der angefochtenen Verfügung - anlässlich der polizeilichen Einvernahme (vgl. Ziff. 3.3 hievor) Gelegenheit, mündlich zu den gegen sie erhobenen Vorwürfen Stellung zu nehmen, worauf sie jedoch verzichtete. Ausserdem erhielt sie während des Rechtsmittelverfahrens mehrmals die Möglichkeit, sich zu den relevanten Tatsachen schriftlich zu äussern. Wesentlich Neues wäre daher bei einem Parteiverhör oder einer Zeugeneinvernahme nicht zu erwarten. Von der beantragten Beweisvorkehr kann daher in antizipierter Beweiswürdigung ohne Verletzung des rechtlichen Gehörs abgesehen werden (BGE 136 I 229 E. 5.3 S. 236 f. m.H.).</w:t>
      </w:r>
    </w:p>
    <w:p>
      <w:r>
        <w:rPr>
          <w:b/>
        </w:rPr>
        <w:t>E. 5.1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vollständigoder vorübergehend aufheben (Abs. 5).</w:t>
      </w:r>
    </w:p>
    <w:p>
      <w:r>
        <w:rPr>
          <w:b/>
        </w:rPr>
        <w:t>E. 5.2</w:t>
      </w:r>
    </w:p>
    <w:p>
      <w:r>
        <w:t>Das Einreiseverbot ist keine Sanktion für vergangenes Fehlverhalten, sondern eine Massnahme zur Abwendung einer künftigen Störung der öffentlichen Sicherheit und Ordnung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w:t>
      </w:r>
    </w:p>
    <w:p>
      <w:r>
        <w:rPr>
          <w:b/>
        </w:rPr>
        <w:t>E. 5.3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Schweizer/Sutter/Widmer, in: Rainer J. Schweizer [Hrsg.], Sicherheits- und Ordnungsrecht des Bundes, SBVR Bd. III/1, Basel 2008, Teil B Rz. 13 m.H.). In diesem Sinne liegt nach Art. 80 Abs. 1 Bst. a VZAE ein Verstoss gegen die öffentliche Sicherheit und Ordnung unter anderem dann vor, wenn gesetzliche Vorschriften oder behördliche Verfügungen missachtet werden. Darunter fällt auch die Zuwiderhandlung gegen Normen des Ausländerrechts. Es genügt dabei,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der zuständigen Behörde zu informieren (vgl. Urteil des BVGer C-6993/2014 vom 30. März 2015 E. 3.3 m.H.).</w:t>
      </w:r>
    </w:p>
    <w:p>
      <w:r>
        <w:rPr>
          <w:b/>
        </w:rPr>
        <w:t>E. 6.1</w:t>
      </w:r>
    </w:p>
    <w:p>
      <w:r>
        <w:t>Die Vorinstanz stützt sich auf Art. 67 Abs. 2 Bst. a AuG und macht geltend, die Beschwerdeführerin sei in der Schweiz ohne Bewilligung als Prostituierte erwerbstätig gewesen. Die Ausübung einer solchen unbewilligten Erwerbstätigkeit verbunden mit illegalem Aufenthalt stelle einen Verstoss gegen die Gesetzgebung dar, womit eine ernsthafte Gefährdung der öffentlichen Sicherheit und Ordnung einhergehe. Die Beschwerdeführerin bestreitet diese Vorhaltung.</w:t>
      </w:r>
    </w:p>
    <w:p>
      <w:r>
        <w:rPr>
          <w:b/>
        </w:rPr>
        <w:t>E. 6.2</w:t>
      </w:r>
    </w:p>
    <w:p>
      <w:r>
        <w:t>Aus den Akten ergibt sich folgendes Bild: Die Beschwerdeführerin wurde am frühen Nachmittag des 14. August 2015 im Rahmen einer von Mitarbeitenden der Luzerner Polizei durchgeführten Milieu-Kontrolle im Massagesalon "X._______" an der Baselstrasse in Luzern angehalten. Gemäss dem dabei erstellten Rapport soll eine leichtbekleidete Dame einem Polizisten in Zivil ihre Liebesdienste gegen Bargeld angeboten haben. Anlässlich der polizeilichen Kontrolle habe sich herausgestellt, dass es sich bei der fraglichen Prostituierten um die Beschwerdeführerin gehandelt habe, welche sich mit einem dominikanischen Reisepass sowie einer spanischen Aufenthaltsbewilligung ausgewiesen habe.</w:t>
      </w:r>
    </w:p>
    <w:p>
      <w:r>
        <w:rPr>
          <w:b/>
        </w:rPr>
        <w:t>E. 6.3</w:t>
      </w:r>
    </w:p>
    <w:p>
      <w:r>
        <w:t>Bei der anschliessenden polizeilichen Einvernahme hatte die Beschwerdeführerin den Sachverhalt weder bestätigt noch bestritten, sondern jegliche Aussage zur Sache verweigert. In ihrer Rechtmitteleingabe vom 16. September 2015 wies die Beschwerdeführerin hingegen darauf hin, sie sei anlässlich der Polizeikontrolle auf der Toilette gewesen und habe weder die Türe geöffnet noch mit dem unbekannten Polizisten gesprochen. Nachdem die polizeiliche Kontrolle bei den drei andern anwesenden Damen erfolglos geblieben sei, sei der fragliche Polizist auf sie, die zwischenzeitlich die Toilette verlassen hätte, gestürzt und habe ihr den im Strafbefehl festgehaltenen Sachverhalt unterstellt. Sie habe jedoch nie in der Schweiz gearbeitet und sei zum ersten Mal in dieser Lokalität gewesen, einzig, um dort ihre Cousine zu treffen.</w:t>
      </w:r>
    </w:p>
    <w:p>
      <w:r>
        <w:rPr>
          <w:b/>
        </w:rPr>
        <w:t>E. 6.4</w:t>
      </w:r>
    </w:p>
    <w:p>
      <w:r>
        <w:t>Das Bundesverwaltungsgericht hat keine Veranlassung, die oben erwähnten polizeilichen Feststellungen bei der Anhaltung der Beschwerdeführerin in Zweifel zu ziehen, weshalb in casu vollumfänglich darauf abzustellen ist. Dies umso mehr, weil nicht nachvollziehbar ist, weshalb die Beschwerdeführerin angesichts des Vorwurfs der illegalen Prostitution nicht bereits während der polizeilichen Einvernahme geltend machte, sie habe lediglich ihre Cousine besucht und sei nicht erwerbstätig gewesen, sondern stattdessen jegliche Aussage zur Sache verweigerte. Mit der Vor-instanz ist deshalb davon auszugehen, dass es sich beim Einwand, sich in einem einschlägig bekannten Massagesalon lediglich als Besucherin aufgehalten zu haben, um eine offensichtliche Schutzbehauptung handelt. Ebenso wenig ergeben sich aus den Akten Hinweise, wonach das Polizeiprotokoll, welches der Beschwerdeführerin rückübersetzt, vom Parteiververtreter jedoch als fiktiv bezeichnet wurde, fehlerhaft verfasst worden wäre. Schliesslich erscheint auch die Argumentation der Rechtsvertretung, wonach angebotene Liebesdienste einer spanischsprachigen Prostituierten zu deren Verständnis Spanischkenntnisse des Freiers voraussetzten, einigermassen lebensfremd. An der obigen Beurteilung vermag auch der Umstand nichts zu ändern, dass die Staatsanwaltschaft Luzern in der Zwischenzeit die gegen die Beschwerdeführerin geführte Strafuntersuchung wegen rechtswidrigen Aufenthalts und Erwerbstätigkeit ohne Bewilligung eingestellt hat. Abgesehen davon, dass es sich dabei - entgegen der Auffassung des Rechtsvertreters (vgl. dessen Eingabe vom 20. September 2016) - nicht um einen Freispruch handelt, geschah dies nur deshalb, weil sich der betreffende Polizist bei seiner Vorsprache an besagter Adresse nicht als solcher zu erkennen gegeben hatte, mithin allein aus formellen Gründen aufgrund des strafprozessualen Verwertungsverbots gemäss Art. 141 Abs. 2 StPO (vgl. zum Ganzen Bst. H. des Sachverhalts). Die Staatsanwaltschaft hat jedoch zu keiner Zeit festgehalten, der fragliche Polizist habe wahrheitswidrige Angaben gemacht. Zum andern weist das Bundesverwaltungsgericht an dieser Stelle darauf hin, dass das Einreiseverbot nicht an die Erfüllung einer Strafnorm, sondern an das Vorliegen einer Polizeigefahr anknüpft und die Behörde in eigener Kompetenz unter Zugrundelegung spezifisch ausländerrechtlicher Kriterien zu beurteilen hat, ob eine solche besteht. Entsprechend kann ein Einreiseverbot auch dann ergehen, wenn ein rechtkräftiges Strafurteil fehlt, sei es, weil ein Strafverfahren nicht eröffnet wurde, noch hängig ist oder wie in casu eingestellt wurde (vgl. anstelle vieler Urteil des BVGer C-7068/2013 vom 19. Mai 2015 E. 5.5 m.H.). Es genügt, dass Verdachtsmomente vorliegen, die von den Behörden als hinreichend konkret erachtet werden (vgl. Urteil des BVGer C-131/2006 vom 21. Februar 2007 E. 7), wobei die Unschuldsvermutung im Administrativverfahren - entgegen der Auffassung der Beschwerdeführerin - keine Geltung beanspruchen kann (vgl. Urteil des BVGer C-4921/2010 vom 11. August 2011 E. 5).</w:t>
      </w:r>
    </w:p>
    <w:p>
      <w:r>
        <w:rPr>
          <w:b/>
        </w:rPr>
        <w:t>E. 6.5</w:t>
      </w:r>
    </w:p>
    <w:p>
      <w:r>
        <w:t>Ein mit Erwerbstätigkeit verbundener Aufenthalt in der Schweiz ist grundsätzlich und ungeachtet seiner Dauer bewilligungspflichtig. Als Erwerbstätigkeit gilt jede üblicherweise gegen Entgelt ausgeübte unselbständige oder selbständige Tätigkeit, selbst wenn sie unentgeltlich erfolgt (Art. 11 Abs. 1 und 2 AuG). Ohne Belang ist, in welchem zeitlichen Ausmass diese Tätigkeit ausgeübt wird. Das wird in Art. 1a Abs. 1 VZAE ausdrücklich für die unselbständige Erwerbstätigkeit festgehalten, gilt jedoch allgemein. Aufgrund der vorliegenden Akten ist erstellt, dass die Beschwerdeführerin während ihres Aufenthalts in der Schweiz im August 2015 der entgeltlichen Prostitution nachgegangen ist, mithin ohne Bewilligung eine Erwerbstätigkeit ausgeübt und auf diese Weise gegen die öffentliche Sicherheit und Ordnung verstossen hat. Sie hat somit unter dem Gesichtspunkt von Art. 67 Abs. 2 Bst. a AuG hinreichenden Anlass für die Verhängung eines Einreiseverbots gesetzt, zumal ihr Verhalten darauf schliessen lässt, dass sie auch künftig keine Gewähr für ein Respektieren der schweizerischen Rechtsordnung bieten kann.</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514 ff.).</w:t>
      </w:r>
    </w:p>
    <w:p>
      <w:r>
        <w:rPr>
          <w:b/>
        </w:rPr>
        <w:t>E. 7.2</w:t>
      </w:r>
    </w:p>
    <w:p>
      <w:r>
        <w:t>Die Beschwerdeführerin ging in der Schweiz - wie festgestellt - ohne Bewilligung einer Erwerbstätigkeit nach. Dieses Fehlverhalten wiegt objektiv nicht leicht, zumal sich die Beschwerdeführerin gegenüber den zuständigen Behörden völlig uneinsichtig gezeigt und das inkriminierte Verhalten trotz belastender Aktenlage bis zum Schluss vehement abgestritten hat. Den ausländerrechtlichen Normen kommt im Interesse einer funktionierenden Rechtsordnung grundsätzlich eine zentrale Bedeutung zu. Namentlich das generalpräventiv motivierte Interesse, die ausländerrechtliche Ordnung durch eine konsequente Massnahmenpraxis zu schützen, ist als gewichtig einzustufen (vgl. dazu Urteil des BGer 2C_948/2011 vom 11. Juli 2012 E. 3.4.2 in fine). Überdies liegt eine spezialpräventive Zielsetzung der Massnahme darin, dass sie die Betroffene ermahnt, bei einer allfälligen künftigen Wiedereinreise in die Schweiz nach Ablauf der Dauer des Einreiseverbots die für sie geltenden Regeln einzuhalten (vgl. hierzu Urteil des BVGer C-6993/2014 vom 30. März 2015 E. 5.2 m.H.). Vorliegend besteht somit ein gewichtiges öffentliches Interesse an der Fernhaltung der Beschwerdeführerin.</w:t>
      </w:r>
    </w:p>
    <w:p>
      <w:r>
        <w:rPr>
          <w:b/>
        </w:rPr>
        <w:t>E. 7.3</w:t>
      </w:r>
    </w:p>
    <w:p>
      <w:r>
        <w:t>Dem öffentlichen Interesse an ihrer befristeten Fernhaltung stellt die Beschwerdeführerin keine persönlichen Interessen gegenüber, die im Rahmen des vorliegenden Verfahrens berücksichtigt werden könnten. So macht sie insbesondere nicht geltend, weiterhin ungehindert in die Schweiz oder das Fürstentum Liechtenstein einreisen zu wollen. Sofern solche Interessen bestehen sollten, bleibt es ihr freigestellt, aus wichtigen Gründen mittels Gesuch die zeitweilige Suspension der angeordneten Fernhaltemassnahme zu beantragen (Art. 67 Abs. 5 AuG), wobei diese aber praxisgemäss nur für eine kurze und klar begrenzte Zeit gewährt wird (vgl. Urteil des BVGer C-1712/2011 vom 12. September 2012 E. 6.3 m.H.). Im Übrigen wurde die aufschiebende Wirkung mit Verfügung vom 4. Oktober 2016 wiederhergestellt (vgl. Bst. M. des Sachverhalts).</w:t>
      </w:r>
    </w:p>
    <w:p>
      <w:r>
        <w:rPr>
          <w:b/>
        </w:rPr>
        <w:t>E. 7.4</w:t>
      </w:r>
    </w:p>
    <w:p>
      <w:r>
        <w:t>Aufgrund einer wertenden Gewichtung der sich entgegenstehenden Interessen gelangt das Bundesverwaltungsgericht zum Schluss, dass sich das auf zwei Jahre befristete Einreiseverbot unter Berücksichtigung der gängigen Praxis in vergleichbaren Fällen (vgl. etwa Urteile des BVGer C-481/2015 vom 19. Mai 2016 und C-1608/2015 vom 26. August 2015) als verhältnismässig und angemessen erweist.</w:t>
      </w:r>
    </w:p>
    <w:p>
      <w:r>
        <w:rPr>
          <w:b/>
        </w:rPr>
        <w:t>E. 8</w:t>
      </w:r>
    </w:p>
    <w:p>
      <w:r>
        <w:t>Aus diesen Erwägungen ergibt sich, dass die angefochtene Verfügung im Lichte von Art. 49 VwVG nicht zu beanstanden ist. Die Beschwerde ist somit abzuweisen.</w:t>
      </w:r>
    </w:p>
    <w:p>
      <w:r>
        <w:rPr>
          <w:b/>
        </w:rPr>
        <w:t>E. 9</w:t>
      </w:r>
    </w:p>
    <w:p>
      <w:r>
        <w:t>Entsprechend dem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