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F-5726/2024 vom 17. September 2024</w:t>
      </w:r>
    </w:p>
    <w:p>
      <w:r>
        <w:t>Bundesverwaltungsgericht, 2024-09-17, FR</w:t>
      </w:r>
    </w:p>
    <w:p>
      <w:r>
        <w:rPr>
          <w:b/>
        </w:rPr>
        <w:t xml:space="preserve">Quelle: </w:t>
      </w:r>
      <w:r>
        <w:t>https://mcp.opencaselaw.ch/entscheid/bvger_F-5726_2024</w:t>
      </w:r>
    </w:p>
    <w:p>
      <w:r>
        <w:t>FR: TAF F-5726/2024 du 17 septembre 2024</w:t>
      </w:r>
    </w:p>
    <w:p>
      <w:r>
        <w:t>IT: TAF F-5726/2024 del 17 settembre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En particulier, si le demandeur est titulaire d'un visa en cours de validité, l'Etat membre qui l'a délivré est, en principe, responsable de l'examen de la demande de protection internationale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2.3</w:t>
      </w:r>
    </w:p>
    <w:p>
      <w:r>
        <w:t>En l'occurrence, à la suite de la requête soumise par le SEM dans le délai prévu à l'art. 21 par. 1 RD III, les autorités françaises compétentes ont expressément accepté de prendre en charge l'intéressé dans le délai fixé à l'art. 22 par. 1 RD III. Ainsi, la France a reconnu sa compétence pour traiter la demande d'asile du recourant.</w:t>
      </w:r>
    </w:p>
    <w:p>
      <w:r>
        <w:rPr>
          <w:b/>
        </w:rPr>
        <w:t>E. 3.1</w:t>
      </w:r>
    </w:p>
    <w:p>
      <w:r>
        <w:t>Pour s'opposer à son transfert, l'intéressé a fait valoir qu'il risquait de faire l'objet, en France, de représailles de la part de l'armée nigériane, dans la mesure où il est originaire du B._______ et y a exercé en tant que commandant. Par ailleurs, il a exposé souffrir d'une hépatite B, laquelle a provoqué une infection du foie. Dans ces conditions, il a sollicité, de manière implicite, l'application de la clause discrétionnaire prévue à l'art. 17 par. 1 RD III (clause de souveraineté).</w:t>
      </w:r>
    </w:p>
    <w:p>
      <w:r>
        <w:rPr>
          <w:b/>
        </w:rPr>
        <w:t>E. 3.2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w:t>
      </w:r>
    </w:p>
    <w:p>
      <w:r>
        <w:t>Tout d'abord, le Tribunal relève, s'agissant de la crainte de l'intéressé de faire l'objet, en France, de représailles de la part de militaires nigérians, que celui-ci n'a pas formellement sollicité l'asile lors de son séjour dans ce pays. Ainsi, à son retour sur place, il incombera en premier lieu au recourant de déposer, dans les meilleurs délais, une demande d'asile auprès des autorités françaises compétentes, ce qui lui permettra d'exposer à ces dernières sa situation personnelle alléguée. De plus, aucun élément concret ne permet de considérer que les autorités en France, pays qui est un Etat de droit, n'offriraient pas à l'intéressé une protection tant effective qu'adéquate au cas où il en ferait la demande. Le recourant pourra donc sans autre s'adresser, une fois de retour en France, aux autorités policières ou judiciaires compétentes en cas de besoin.</w:t>
      </w:r>
    </w:p>
    <w:p>
      <w:r>
        <w:rPr>
          <w:b/>
        </w:rPr>
        <w:t>E. 3.4.1</w:t>
      </w:r>
    </w:p>
    <w:p>
      <w:r>
        <w:t>S'agissant de son état de santé, l'intéressé présente une hépatite B chronique. Selon les derniers documents médicaux à disposition, un entretien en hépatologie était prévu le 4 septembre 2024 et un autre devait être planifié auprès du service de néphrologie en raison d'une insuffisance rénale. Cela dit, il ne ressort pas du dossier qu'un quelconque traitement serait en cours s'agissant de cette affection. Aucune allégation en ce sens n'a, par ailleurs, été formulée à l'appui du recours. L'intéressé s'est, en revanche, vu prescrire un traitement médicamenteux contre l'hypertension.</w:t>
      </w:r>
    </w:p>
    <w:p>
      <w:r>
        <w:rPr>
          <w:b/>
        </w:rPr>
        <w:t>E. 3.4.2</w:t>
      </w:r>
    </w:p>
    <w:p>
      <w:r>
        <w:t>Sans minimiser la condition médicale du recourant, rien ne permet d'inférer que ce dernier serait, en l'état, inapte à voyager ou que son transfert vers la France représenterait un danger concret pour sa santé. En outre, ce pays, qui est lié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avancées (cf. arrêts du TAF F-4535/2024 du 23 juillet 2024 consid. 6 ; F-4178/2024 du 5 juillet 2024 consid. 6.3.2),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L'intéressé pourra ainsi bénéficier des prestations prévues par cette directive une fois qu'il aura formulé, à l'issue de son transfert, une demande d'asile auprès des autorités françaises.</w:t>
      </w:r>
    </w:p>
    <w:p>
      <w:r>
        <w:rPr>
          <w:b/>
        </w:rPr>
        <w:t>E. 3.4.3</w:t>
      </w:r>
    </w:p>
    <w:p>
      <w:r>
        <w:t>En tout état de cause, le SEM a indiqué, dans le document relatif aux modalités de transfert, qu'un rapport médical devrait être obtenu avant la mise en oeuvre de cette mesure. Le cas échéant, il incombera aux autorités suisses chargées de l'exécution du transfert de transmettre, sous une forme appropriée, aux autorités françaises les renseignements permettant une éventuelle prise en charge médicale spécifique (art. 31 et 32 RD III).</w:t>
      </w:r>
    </w:p>
    <w:p>
      <w:r>
        <w:rPr>
          <w:b/>
        </w:rPr>
        <w:t>E. 3.4.4</w:t>
      </w:r>
    </w:p>
    <w:p>
      <w:r>
        <w:t>Cela étant, il n'appert pas que le recourant souffre de problèmes de santé d'une gravité telle que l'exécution de son transfert vers la France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3.5</w:t>
      </w:r>
    </w:p>
    <w:p>
      <w:r>
        <w:t>Il s'ensuit que le transfert du recourant vers la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4</w:t>
      </w:r>
    </w:p>
    <w:p>
      <w:r>
        <w:t>Au vu de ce qui précède, c'est à juste titre que le SEM n'est pas entré en matière sur la demande d'asile de l'intéressé, en application de l'art. 31a al. 1 let. b LAsi, et a prononcé son transfert de la Suisse vers la France,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13 septembre 2024 sont caduques.</w:t>
      </w:r>
    </w:p>
    <w:p>
      <w:r>
        <w:rPr>
          <w:b/>
        </w:rPr>
        <w:t>E. 6.1</w:t>
      </w:r>
    </w:p>
    <w:p>
      <w:r>
        <w:t>Par ailleurs, les conclusions du recours étant d'emblée vouées à l'échec, la demande d'assistance judiciaire partielle et totale est rejetée.</w:t>
      </w:r>
    </w:p>
    <w:p>
      <w:r>
        <w:rPr>
          <w:b/>
        </w:rPr>
        <w:t>E. 6.2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