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F-5720/2024 vom 14. Dezember 2024</w:t>
      </w:r>
    </w:p>
    <w:p>
      <w:r>
        <w:t>Bundesverwaltungsgericht, 2024-12-14, DE</w:t>
      </w:r>
    </w:p>
    <w:p>
      <w:r>
        <w:rPr>
          <w:b/>
        </w:rPr>
        <w:t xml:space="preserve">Quelle: </w:t>
      </w:r>
      <w:r>
        <w:t>https://mcp.opencaselaw.ch/entscheid/bvger_F-5720_2024</w:t>
      </w:r>
    </w:p>
    <w:p>
      <w:r>
        <w:t>FR: TAF F-5720/2024 du 14 décembre 2024</w:t>
      </w:r>
    </w:p>
    <w:p>
      <w:r>
        <w:t>IT: TAF F-5720/2024 del 14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betreffend das Asylgesuch des Beschwerdeführers und dessen Wegweisung als auch gegen den ZEMIS-Eintrag betreffend dessen Geburtsdatum. Dass es in der angefochtenen Verfügung an der praxisüblichen Dispositivziffer fehlt, wonach dem Beschwerdeführer die erfolgte ZEMIS-Datenänderung mitgeteilt wird, ändert nichts daran, dass die entsprechende Mitteilung Gegenstand der angefochtenen Verfügung bildet. Dies ergibt sich aus den Erwägungen (S. 8) in Verbindung mit der Rechtsmittelbelehrung, aus welcher erhellt, dass die vorgesehene Dispositivziffer 2 betreffend ZEMIS-Eintrag versehentlich vergessen wurde.</w:t>
      </w:r>
    </w:p>
    <w:p>
      <w:r>
        <w:rPr>
          <w:b/>
        </w:rPr>
        <w:t>E. 1.2</w:t>
      </w:r>
    </w:p>
    <w:p>
      <w:r>
        <w:t>Praxisgemäss wird das Beschwerdeverfahren betreffend ZEMIS-Datenbereinigung separat neben dem Dublin-Beschwerdeverfahren geführt (vgl. BVGE 2018 VI/3). Vorliegend kann aufgrund der Verfahrens-konstellation und des Prozessausgangs jedoch in einem Urteil über die streitigen Rechtsverhältnisse befunden werden.</w:t>
      </w:r>
    </w:p>
    <w:p>
      <w:r>
        <w:rPr>
          <w:b/>
        </w:rPr>
        <w:t>E. 1.3</w:t>
      </w:r>
    </w:p>
    <w:p>
      <w:r>
        <w:t>Das Verfahren richtet sich nach dem VwVG und dem VGG (Art. 37 VGG). In Bezug auf den Nichteintretens- und Wegweisungsentscheid ist ferner Art. 6 AsylG anwendbar.</w:t>
      </w:r>
    </w:p>
    <w:p>
      <w:r>
        <w:rPr>
          <w:b/>
        </w:rPr>
        <w:t>E. 1.4</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1.5</w:t>
      </w:r>
    </w:p>
    <w:p>
      <w:r>
        <w:t>Auf dem Gebiet des Asyls entscheidet das Bundesverwaltungsgericht - wie auch hier betreffend den Nichteintretens- und Wegweisungsentscheid - endgültig (Art. 83 Bst. d Ziff. 1 BGG).</w:t>
      </w:r>
    </w:p>
    <w:p>
      <w:r>
        <w:rPr>
          <w:b/>
        </w:rPr>
        <w:t>E. 2</w:t>
      </w:r>
    </w:p>
    <w:p>
      <w:r>
        <w:t>Mit asylrechtlicher Beschwerde kann die Verletzung von Bundesrecht (einschliesslich Missbrauch und Überschreiten des Ermessens) sowie die unrichtige oder unvollständige Feststellung des rechtserheblichen Sachverhalts gerügt werden (Art. 106 Abs. 1 AsylG). Hinsichtlich der ZEMIS-Datenänderung entscheidet das Bundesverwaltungsgericht mit uneingeschränkter Kognition (Art. 49 VwVG).</w:t>
      </w:r>
    </w:p>
    <w:p>
      <w:r>
        <w:rPr>
          <w:b/>
        </w:rPr>
        <w:t>E. 3</w:t>
      </w:r>
    </w:p>
    <w:p>
      <w:r>
        <w:t>Das Gericht hat auf die Durchführung eines Schriftenwechsels verzichtet. In Bezug auf die asylrechtliche Beschwerde stützt sich der Verzicht auf Art. 111a Abs. 1 AsylG, hinsichtlich der Beschwerde gegen die Datenänderung im ZEMIS auf Art. 57 Abs. 1 VwVG e contrario und den Umstand, dass sich das diesbezügliche Begehren, wie nachfolgend aufgezeigt, als von vornherein unbegründet erweist.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zum Ganzen Urteil des BVGer F-2948/2024 vom 3. Dezember 2024 E. 4.2). Vorliegend bestünde deshalb bei gegebener Minderjährigkeit des Beschwerdeführers im Zeitpunkt der Stellung seines Asylantrags in der Schweiz eine der grundsätzlichen Wiederaufnahmezuständigkeit Kroatiens vorrangige Zuständigkeit der Schweiz (vgl. unter anderen: Urteil des BVGer F-6213/2020 vom 5. Januar 2021 E. 3.4).</w:t>
      </w:r>
    </w:p>
    <w:p>
      <w:r>
        <w:rPr>
          <w:b/>
        </w:rPr>
        <w:t>E. 5.1</w:t>
      </w:r>
    </w:p>
    <w:p>
      <w:r>
        <w:t>Aufgrund des Gesagten ist zunächst zu prüfen, ob der Beschwerdeführer im Zeitpunkt der Einreichung des Asylgesuchs minderjährig war.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5.2</w:t>
      </w:r>
    </w:p>
    <w:p>
      <w:r>
        <w:t>Im Asylverfahren ist die Minderjährigkeit - der allgemeinen asylrechtlichen Beweisregel folgend - von der beschwerdeführenden Person zumindest glaubhaft zu machen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5.3.1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5.3.3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5.3.4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6.1</w:t>
      </w:r>
    </w:p>
    <w:p>
      <w:r>
        <w:t>Nachfolgend ist zunächst gemäss den Beweismassregeln des Asylverfahrens zu prüfen, ob der Beschwerdeführer die behauptete Minderjährigkeit glaubhaft machen konnte.</w:t>
      </w:r>
    </w:p>
    <w:p>
      <w:r>
        <w:rPr>
          <w:b/>
        </w:rPr>
        <w:t>E. 6.2</w:t>
      </w:r>
    </w:p>
    <w:p>
      <w:r>
        <w:t>Dem Beschwerdeführer wurden im Rahmen seiner Einreise in Europa drei verschiedene Geburtsdaten zugeordnet. Bei der Einreise in der Schweiz wurde der 1. Januar 2006 als Geburtsdatum erfasst. Im Rahmen des Asylantrags wurde der 14. Juli 2008 notiert. Ferner wurde der Beschwerdeführer in Kroatien mit dem Geburtsdatum 14. Januar 2008 erfasst. Die Vorinstanz wies den Beschwerdeführer in der UMA-Befragung auf diese Widersprüchlichkeiten hin und gewährte ihm das rechtliche Gehör. Er teilte mit, dass er sich in Kroatien und auch in der Schweiz immer als Minderjähriger mit dem Geburtsjahr 2008 angegeben hätte. Ein genaues Geburtsdatum habe er aber nie genannt. Zudem führt er aus, dass er selbst gar nicht wisse, ob er voll- oder minderjährig sei. Er habe sich einfach immer als Minderjähriger ausgegeben. Die Frage nach Identitätspapieren verneinte er. Daraufhin hat die Vorinstanz am Institut für Diagnostische und Interventionelle Radiologie des Universitätsspitals Zürich ein Altersgutachten durchführen lassen. Diesem Altersgutachten vom 19. Juli 2024 ist zu entnehmen, dass sich aufgrund von Handröntgen, Computertomographie der Schlüsselbeine sowie Röntgenuntersuchung der Kiefer in der Gesamtbetrachtung ein durchschnittliches Alter von 18.5 - 23.6 Jahren ergeben hat. Das Mindestalter wurde mit 19 Jahren angegeben und festgestellt, dass der Beschwerdeführer zum Zeitpunkt der Untersuchung mit an Sicherheit grenzender Wahrscheinlichkeit volljährig war. Das von ihm angegebene Alter von 16 Jahren liege unterhalb der Ergebnisse der Altersschätzung. Im Anschluss daran hat die Vorinstanz das Geburtsdatum des Beschwerdeführers, nach Gewährung des rechtlichen Gehörs, im ZEMIS vom 14. Juli 2008 auf den 1. Januar 2005 abgeändert und den Eintrag mit einem Bestreitungsvermerk versehen. Aufgrund der Ausführungen des Beschwerdeführers in der UMA-Befragung und der Ergebnisse des Altersgutachtens ist nicht zu beanstanden, dass die Vorinstanz den 1. Januar 2005 in das ZEMIS eingetragen hat.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 des BVGer A-1455/2020 vom 13. Oktober 2020 E. 6.1.1). Zum Beweiswert des konkreten Gutachtens ist festzuhalten, dass gemäss BVGE 2018 VI/3 E. 4.2.2 ein starkes Indiz für die Volljährigkeit vorliegt, wenn das Mindestalter bei der Schlüsselbein- respektive Skelettaltersanalyse oder der zahnärztlichen Untersuchung über 18 Jahren liegt und sich die anhand der beiden Analysen ergebenden Altersspannen überlappen. Das erstellte Altersgutachten kommt zu dem Ergebnis, dass beim Beschwerdeführer ein Mindestalter von 19 Jahren vorliege und er daher mit an Sicherheit grenzender Wahrscheinlichkeit das 18. Lebensjahr vollendet und die Volljährigkeit erreicht habe. Ausschlaggebend hierfür sei unter anderem die radiologische Untersuchung der medialen Schlüsselbeinepiphysen (Schlüsselbein-Brustbein-Gelenke), die einem Durchschnittsalter von 23.6 Jahren (+/- 2.6 Jahren) entspreche. Das minimale Alter liege bei 19 Jahren. Die zahnärztliche Untersuchung ergab ein Durchschnittsalter von 22.7 Jahren (+/- 1.9 Jahren). Die genannten Zeitspannen überschneiden sich und das Altersgutachten kann demnach als starkes Indiz für die Volljährigkeit des Beschwerdeführers gewertet werden. Vorliegend bestehen sodann keine begründeten Anhaltspunkte, welche geeignet sind, die Erkenntnisse des Altersgutachtens vom 19. Juli 2024 entscheidrelevant in Zweifel zu ziehen. Das Gutachten ist von zertifizierten ärztlichen Fachpersonen verfasst worden und basiert auf den Empfehlungen der Arbeitsgemeinschaft für Forensische Altersdiagnostik der Deutschen Gesellschaft für Rechtsmedizin (AGFAD). Es wurde nach wissenschaftlichen Kriterien erstellt und basiert nicht auf einer einzelnen, sondern auf mehreren verschiedenen Untersuchungen. Die Vorbringen des Beschwerdeführers auf Rechtsmittelebene, welche die wissenschaftliche Korrektheit beziehungsweise Aktualität der für das vorliegende Altersgutachten (und für Altersgutachten bei Asylsuchenden im Allgemeinen) verwendeten Methodik in Zweifel ziehen, vermögen an der Richtigkeit der rechtsprechungskonformen vorinstanzlichen Würdigung seiner Ergebnisse nichts zu ändern.</w:t>
      </w:r>
    </w:p>
    <w:p>
      <w:r>
        <w:rPr>
          <w:b/>
        </w:rPr>
        <w:t>E. 6.3</w:t>
      </w:r>
    </w:p>
    <w:p>
      <w:r>
        <w:t>Zusammenfassend ist festzuhalten, dass der Beschwerdeführer sowohl von den kroatischen als auch den schweizerischen Behörden als minderjährig registriert wurde, obwohl er selbst angab nicht zu wissen, ob er minder- oder volljährig sei. Das Altersgutachten liefert einen aussagekräftigen Anhaltspunkt, dass der Beschwerdeführer mit an Sicherheit grenzender Wahrscheinlichkeit zum Zeitpunkt der Antragstellung volljährig war. Insgesamt ist es dem Beschwerdeführer vorliegend nicht gelungen, die von ihm behauptete Minderjährigkeit glaubhaft zu machen.</w:t>
      </w:r>
    </w:p>
    <w:p>
      <w:r>
        <w:rPr>
          <w:b/>
        </w:rPr>
        <w:t>E. 7</w:t>
      </w:r>
    </w:p>
    <w:p>
      <w:r>
        <w:t>Nach dem Gesagten ist weder die Richtigkeit des im ZEMIS eingetragenen noch diejenige des vom Beschwerdeführer angegebenen Geburtsdatums bewiesen. In Gesamtwürdigung aller Indizien ist jedoch das im ZEMIS eingetragene Geburtsdatum (1. Januar 2005) als wahrscheinlicher anzusehen als eine Minderjährigkeit des Beschwerdeführers. Sodann ist Ersteres auch mit dem Altersgutachten zu vereinbaren. Das im ZEMIS eingetragene Geburtsdatum ist daher unverändert zu belassen und weiterhin mit einem Bestreitungsvermerk zu versehen. Die Beschwerde ist abzuweisen, soweit darin beantragt wird, das Geburtsdatum des Beschwerdeführers im ZEMIS sei anzupassen.</w:t>
      </w:r>
    </w:p>
    <w:p>
      <w:r>
        <w:rPr>
          <w:b/>
        </w:rPr>
        <w:t>E. 8.1</w:t>
      </w:r>
    </w:p>
    <w:p>
      <w:r>
        <w:t>Da der Beschwerdeführer nach dem Gesagten als Volljähriger gilt, kommt die grundsätzliche Wiederaufnahmezuständigkeit Kroatiens zum Tragen (vgl. E. 3.3).</w:t>
      </w:r>
    </w:p>
    <w:p>
      <w:r>
        <w:rPr>
          <w:b/>
        </w:rPr>
        <w:t>E. 8.2</w:t>
      </w:r>
    </w:p>
    <w:p>
      <w:r>
        <w:t>Die Vorinstanz hat in der angefochtenen Verfügung korrekt erwogen, dass die grundsätzliche Zuständigkeit für die Durchführung des Asyl- und Wegweisungsverfahrens bei Kroatien liegt, dass sich die Abnahme von Fingerabdrücken von asylsuchenden Personen auf die Verordnung (EU) Nr. 603/2013 des Europäischen Parlaments und des Rates vom 26. Juni 2013 (Eurodac-Verordnung) stützt,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Abs. 2 Dublin-III-VO ausgesetzt oder ohne Prüfung seines Asylgesuchs beziehungsweise unter Verletzung des Non-Refoulement-Gebots in seinen Heimatstaat überstellt würde und dass keine konkreten Hinweise dafür vorliegen, dass er bei einer Rückkehr nach Kroatien in eine existenzielle Notlage geraten würde. Damit verstösst eine Rückweisung auch in dieser Hinsicht nicht gegen Art. 3 EMRK. Darüber hinaus hat die Vorinstanz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Kroatien angeordnet. Zur näheren Begründung wird auf die korrekten vor-instanzlichen Erwägungen verwiesen.</w:t>
      </w:r>
    </w:p>
    <w:p>
      <w:r>
        <w:rPr>
          <w:b/>
        </w:rPr>
        <w:t>E. 8.3</w:t>
      </w:r>
    </w:p>
    <w:p>
      <w:r>
        <w:t>An der Richtigkeit der vorinstanzlichen Verfügung ändert auch die erstmals auf Beschwerdeebene vorgebrachte Angabe des Beschwerdeführers, dass er in Kroatien schikaniert, eingesperrt und gefoltert worden sei, nichts. So begründen die entsprechenden Vorbringen nicht die Annahme, dass die von ihm bei einer Rückführung nach Kroatien zu erwartenden Bedingungen derart schlecht wären, dass sie zu einer Verletzung von Art. 3 EMRK führen könnten. Die gesundheitlichen Beeinträchtigungen des Beschwerdeführers (Krätze, Angstzustände und Schlafprobleme) sind im vorliegenden Fall nicht derart gravierend, dass gestützt auf Art. 3 EMRK von einer Überstellung nach Kroatien abgesehen werden müsste. Entgegen seinem Vorbringen in der Beschwerdeschrift wurde er in der Schweiz gegen Krätze behandelt und erhielt Ivermectin 3 mg sowie Scabimed 5% (vgl. Behandlung vom 21. August 2024 und 4. September 2024). Was schließlich das Vorbringen anbelangt, ihm sei der Zugang zu einer notwendigen psychologischen Behandlung verwehrt worden, ist festzustellen, dass der Beschwerdeführer weder nachgewiesen noch substantiiert dargelegt hat, dass ihm im BAZ der Zugang zu einer beantragten psychologischen Behandlung ohne sachlichen Grund verwehrt worden wäre. Die beanstandete Verletzung des Informationsrechts nach Art. 4 Dublin-III-VO bleibt unbelegt.</w:t>
      </w:r>
    </w:p>
    <w:p>
      <w:r>
        <w:rPr>
          <w:b/>
        </w:rPr>
        <w:t>E. 9</w:t>
      </w:r>
    </w:p>
    <w:p>
      <w:r>
        <w:t>Nach dem Gesagten besteht kein Anlass, die Vorinstanz anzuweisen, von den kroatischen Behörden individuelle Zusicherungen im Sinne des Subeventualantrags einzuholen. Dieser ist abzuweisen.</w:t>
      </w:r>
    </w:p>
    <w:p>
      <w:r>
        <w:rPr>
          <w:b/>
        </w:rPr>
        <w:t>E. 10</w:t>
      </w:r>
    </w:p>
    <w:p>
      <w:r>
        <w:t>Aus den vorstehenden Erwägungen ergibt sich, dass die Beschwerde auch betreffend den Nichteintretens- und Wegweisungsentscheid abzuweisen ist.</w:t>
      </w:r>
    </w:p>
    <w:p>
      <w:r>
        <w:rPr>
          <w:b/>
        </w:rPr>
        <w:t>E. 11</w:t>
      </w:r>
    </w:p>
    <w:p>
      <w:r>
        <w:t>Mit vorliegendem Urteil wird der Antrag auf Gewährung der aufschiebenden Wirkung gegenstandslos und fällt der am 13. September 2024 angeordnete Vollzugsstopp dahin.</w:t>
      </w:r>
    </w:p>
    <w:p>
      <w:r>
        <w:rPr>
          <w:b/>
        </w:rPr>
        <w:t>E. 12.1</w:t>
      </w:r>
    </w:p>
    <w:p>
      <w:r>
        <w:t>Das Gesuch um Gewährung der unentgeltlichen Rechtspflege ist abzuweisen, da die Begehren - wie sich aus den vorstehenden Erwägungen ergibt - als aussichtslos zu bezeichnen sind und dies auch schon im Zeitpunkt der Gesuchstellung waren (Art. 65 Abs. 1 VwVG).</w:t>
      </w:r>
    </w:p>
    <w:p>
      <w:r>
        <w:rPr>
          <w:b/>
        </w:rPr>
        <w:t>E. 12.2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