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F-5709/2024 vom 17. September 2024</w:t>
      </w:r>
    </w:p>
    <w:p>
      <w:r>
        <w:t>Bundesverwaltungsgericht, 2024-09-17, DE</w:t>
      </w:r>
    </w:p>
    <w:p>
      <w:r>
        <w:rPr>
          <w:b/>
        </w:rPr>
        <w:t xml:space="preserve">Quelle: </w:t>
      </w:r>
      <w:r>
        <w:t>https://mcp.opencaselaw.ch/entscheid/bvger_F-5709_2024</w:t>
      </w:r>
    </w:p>
    <w:p>
      <w:r>
        <w:t>FR: TAF F-5709/2024 du 17 septembre 2024</w:t>
      </w:r>
    </w:p>
    <w:p>
      <w:r>
        <w:t>IT: TAF F-5709/2024 del 17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4.2</w:t>
      </w:r>
    </w:p>
    <w:p>
      <w:r>
        <w:t>Besitzt eine antragstellende Person einen oder mehrere Aufenthaltstitel, die weniger als zwei Jahre zuvor abgelaufen sind, oder ein oder mehrere Visa, die seit weniger als sechs Monaten abgelaufen sind, aufgrund deren sie in das Hoheitsgebiet eines Mitgliedstaats einreisen konnte, so ist grundsätzlich der Mitgliedstaat, der das Visum erteilt oder den Aufenthaltstitel ausgestellt hat, für die Prüfung des Antrags auf internationalen Schutz zuständig (Art. 12 Abs. 4 Dublin-III-VO). Der Pass des Beschwerdeführers enthält ein bis zum (...) 2023 gültiges rumänisches Visum sowie eine Verlängerung um zwei Jahre. Nachdem die dortigen Behörden dem Aufnahmegesuch der Vorinstanz zugestimmt haben, ist die Zuständigkeit Rumäniens grundsätzlich gegeben. In grundlegender Hinsicht ist festzuhalten, dass die Dublin-III-VO den Schutzsuchenden kein Recht einräumt, den ihren Antrag prüfenden Staat selber auszuwählen (vgl. BVGE 2010/45 E. 8.3).</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In der Beschwerdeschrift wird fälschlicherweise geltend gemacht, Rumänien habe das Asylgesuch des Beschwerdeführers abgelehnt. Dies trifft indes nicht zu; er hat vielmehr in Rumänien noch kein Asylgesuch gestellt. Entsprechend wird er, entgegen den Vorbringen in der Beschwerde, in Rumänien die Gelegenheit erhalten, seine Asylgründe darzulegen. Die Vorinstanz hat zutreffend ausgeführt, dass es gemäss ständiger Rechtsprechung des Bundesverwaltungsgerichts keine wesentlichen Gründe für die Annahme gibt, das Asylverfahren und die Aufnahmebedingungen für asylsuchende Personen in Rumänien wiesen systemische Schwachstellen im Sinne von Art. 3 Abs. 2 zweiter und dritter Satz Dublin-III-VO auf, die eine Gefahr einer unmenschlichen oder entwürdigenden Behandlung im Sinne des Art. 4 der EU-Grundrechtecharta mit sich bringen würden (vgl. etwa zuletzt Urteile des BVGer F-4931/2024 vom 8. August 2024 E. 5, F-3704/2023 vom 23. Mai 2024 E. 5.2, F-6643/2023 vom 6. Dezember 2023 E. 5.2). Auch unter Berücksichtigung der in der Beschwerde zitierten Urteile ausländischer Gerichte und Berichte von Nichtregierungsorganisationen ist nicht anzunehmen, das Land verstosse systematisch gegen seine vertraglichen Verpflichtungen als zuständiger Dublin-Mitgliedstaat im Falle einer Überstellung von Asylsuchenden. Eine Anwendung von Art. 3 Abs. 2 Dublin-III-VO ist folglich nicht gerechtfertigt.</w:t>
      </w:r>
    </w:p>
    <w:p>
      <w:r>
        <w:rPr>
          <w:b/>
        </w:rPr>
        <w:t>E. 5.3</w:t>
      </w:r>
    </w:p>
    <w:p>
      <w:r>
        <w:t>Der Beschwerdeführer hat kein konkretes und ernsthaftes Risiko dargetan, die ihn bei einer Rückführung erwartenden Bedingungen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Behörden wenden und die ihm zustehenden Aufnahmebedingungen auf dem Rechtsweg einfordern (vgl. Art. 26 Aufnahmerichtlinie).</w:t>
      </w:r>
    </w:p>
    <w:p>
      <w:r>
        <w:rPr>
          <w:b/>
        </w:rPr>
        <w:t>E. 5.4</w:t>
      </w:r>
    </w:p>
    <w:p>
      <w:r>
        <w:t>Der Beschwerdeführer stellt sich auf den Standpunkt, der medizinische Sachverhalt sei nicht hinreichend festgestellt worden. Eine im Universitätsspital B._______ durchgeführte (...) ergab keine Hinweise auf strukturelle (...)erkrankungen beim Beschwerdeführer (SEM-Akten pag. 1345348-27/5). Gegen seine (...)schmerzen ([...] Syndrom) wurden ihm Physiotherapie und gegen (...) neue Medikamente verordnet. Gemäss Medic-Help hätten sich die (...)schmerzen deutlich verbessert, (...) würden regelmässig kontrolliert und er sei nicht auf (...) angewiesen. Weitere medizinische Untersuchungen oder Arzttermine sind nicht vorgesehen.</w:t>
      </w:r>
    </w:p>
    <w:p>
      <w:r>
        <w:rPr>
          <w:b/>
        </w:rPr>
        <w:t>E. 5.5</w:t>
      </w:r>
    </w:p>
    <w:p>
      <w:r>
        <w:t>Von zusätzlichen medizinischen Untersuchungen sind daher keine entscheidwesentlichen neuen Erkenntnisse zu erwarten. Insbesondere ist nicht anzunehmen, dass eine gesundheitliche Beeinträchtigung diagnostiziert würde, welche die Schwelle von Art. 3 EMRK überschreiten und einer Überstellung des Beschwerdeführers nach Rumänien entgegenstehen könnte (zur antizipierten Beweiswürdigung siehe BGE 136 I 229 E. 5.3 m.H.). Vor diesem Hintergrund ist der Antrag der Rechtsvertretung auf Fristgewährung zur Beschwerdeergänzung abzuweisen.</w:t>
      </w:r>
    </w:p>
    <w:p>
      <w:r>
        <w:rPr>
          <w:b/>
        </w:rPr>
        <w:t>E. 5.6</w:t>
      </w:r>
    </w:p>
    <w:p>
      <w:r>
        <w:t>Die vorinstanzlichen Akten enthalten vom Beschwerdeführer eingereichte Arztberichte aus Rumänien. Offenbar wurde er dort bereits untersucht. Sollte er nach der Rückkehr Behandlung benötigen, ist drauf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zu gewähren (Art. 19 Abs. 2 Aufnahmerichtlinie). Es liegen keine Hinweise vor, wonach dem Beschwerdeführer eine adäquate medizinische Behandlung verweigert würde.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Folglich droht keine Verletzung von Art. 3 EMRK und es sind auch keine humanitären Gründe ersichtlich, die einen Selbsteintritt der Schweiz gebieten würden.</w:t>
      </w:r>
    </w:p>
    <w:p>
      <w:r>
        <w:rPr>
          <w:b/>
        </w:rPr>
        <w:t>E. 5.7</w:t>
      </w:r>
    </w:p>
    <w:p>
      <w:r>
        <w:t>Des Weiteren liegen keine Anhaltspunkte vor, wonach die Gesundheit des Beschwerdeführers bei einer Überstellung nach Rumänien ernsthaft gefährdet würde.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wäre oder eine Überstellung seine Gesundheit ernsthaft gefährden würde. Sein Gesundheitszustand vermag eine Unzulässigkeit im Sinne dieser restriktiven Rechtsprechung nicht zu rechtfertigen. Die schweizerischen Behörden, die mit dem Vollzug der angefochtenen Verfügung beauftragt sind, werden den medizinischen Umständen bei der Bestimmung der konkreten Modalitäten der Überstellung des Beschwerdeführers Rechnung tragen und die rumänischen Behörden vorgängig in geeigneter Weise über die spezifischen medizinischen Umstände informieren (vgl. Art. 31 f. Dublin-III-VO).</w:t>
      </w:r>
    </w:p>
    <w:p>
      <w:r>
        <w:rPr>
          <w:b/>
        </w:rPr>
        <w:t>E. 6</w:t>
      </w:r>
    </w:p>
    <w:p>
      <w:r>
        <w:t>Vor diesem Hintergrund ist auch der Subeventualantrag abzuweisen, die Vorinstanz sei anzuweisen, von den Behörden eine individuelle schriftliche Zusicherung einzuholen, dass ab dem Zeitpunkt der Ankunft in Rumänien umgehend Obdach, Nahrung, eine adäquate und regelmässige medizinische sowie psychologische Behandlung zur Verfügung stehe.</w:t>
      </w:r>
    </w:p>
    <w:p>
      <w:r>
        <w:rPr>
          <w:b/>
        </w:rPr>
        <w:t>E. 7</w:t>
      </w:r>
    </w:p>
    <w:p>
      <w:r>
        <w:t>In Anwendung von Art. 31a Abs. 1 Bst. b AsylG ist die Vorinstanz zu Recht auf das Asylgesuch des Beschwerdeführers nicht eingetreten und hat die Wegweisung nach Rumänien angeordnet. Die Beschwerde ist abzuweisen.</w:t>
      </w:r>
    </w:p>
    <w:p>
      <w:r>
        <w:rPr>
          <w:b/>
        </w:rPr>
        <w:t>E. 8</w:t>
      </w:r>
    </w:p>
    <w:p>
      <w:r>
        <w:t>Mit dem Entscheid in der Hauptsache sind die Gesuche um Erteilung der aufschiebenden Wirkung und um Verzicht auf die Erhebung eines Kostenvorschusses gegenstandslos geworden. Der am 13. September 2024 verfügte einstweilige Vollzugsstopp fällt mit dem vorliegenden Urteil dahin.</w:t>
      </w:r>
    </w:p>
    <w:p>
      <w:r>
        <w:rPr>
          <w:b/>
        </w:rPr>
        <w:t>E. 9</w:t>
      </w:r>
    </w:p>
    <w:p>
      <w:r>
        <w:t>Das Gesuch um Gewährung der unentgeltlichen Prozessführung ist abzuweisen, da die Beschwerde gemäss den vorstehenden Erwägungen als aussichtslos zu bezeichnen war. Daher fehlt es, unbesehen der finanziellen Verhältnisse des Beschwerdeführers, an einer gesetzlichen Voraussetzung gemäss Art. 65 Abs. 1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